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B0093" w:rsidRPr="000B1E94" w:rsidRDefault="00000000" w:rsidP="000B1E94">
      <w:pPr>
        <w:pStyle w:val="Heading1"/>
        <w:spacing w:before="240" w:line="276" w:lineRule="auto"/>
        <w:ind w:left="629" w:firstLine="0"/>
        <w:jc w:val="center"/>
        <w:rPr>
          <w:rFonts w:asciiTheme="majorHAnsi" w:hAnsiTheme="majorHAnsi"/>
          <w:sz w:val="28"/>
          <w:szCs w:val="28"/>
          <w:u w:val="single"/>
        </w:rPr>
      </w:pPr>
      <w:r w:rsidRPr="000B1E94">
        <w:rPr>
          <w:rFonts w:asciiTheme="majorHAnsi" w:hAnsiTheme="majorHAnsi"/>
          <w:sz w:val="28"/>
          <w:szCs w:val="28"/>
          <w:u w:val="single"/>
        </w:rPr>
        <w:t>POLICY</w:t>
      </w:r>
      <w:r w:rsidRPr="000B1E94">
        <w:rPr>
          <w:rFonts w:asciiTheme="majorHAnsi" w:hAnsiTheme="majorHAnsi"/>
          <w:spacing w:val="-6"/>
          <w:sz w:val="28"/>
          <w:szCs w:val="28"/>
          <w:u w:val="single"/>
        </w:rPr>
        <w:t xml:space="preserve"> </w:t>
      </w:r>
      <w:r w:rsidRPr="000B1E94">
        <w:rPr>
          <w:rFonts w:asciiTheme="majorHAnsi" w:hAnsiTheme="majorHAnsi"/>
          <w:sz w:val="28"/>
          <w:szCs w:val="28"/>
          <w:u w:val="single"/>
        </w:rPr>
        <w:t>ON</w:t>
      </w:r>
      <w:r w:rsidRPr="000B1E94">
        <w:rPr>
          <w:rFonts w:asciiTheme="majorHAnsi" w:hAnsiTheme="majorHAnsi"/>
          <w:spacing w:val="-4"/>
          <w:sz w:val="28"/>
          <w:szCs w:val="28"/>
          <w:u w:val="single"/>
        </w:rPr>
        <w:t xml:space="preserve"> </w:t>
      </w:r>
      <w:r w:rsidRPr="000B1E94">
        <w:rPr>
          <w:rFonts w:asciiTheme="majorHAnsi" w:hAnsiTheme="majorHAnsi"/>
          <w:sz w:val="28"/>
          <w:szCs w:val="28"/>
          <w:u w:val="single"/>
        </w:rPr>
        <w:t>DETERMINING</w:t>
      </w:r>
      <w:r w:rsidRPr="000B1E94">
        <w:rPr>
          <w:rFonts w:asciiTheme="majorHAnsi" w:hAnsiTheme="majorHAnsi"/>
          <w:spacing w:val="-4"/>
          <w:sz w:val="28"/>
          <w:szCs w:val="28"/>
          <w:u w:val="single"/>
        </w:rPr>
        <w:t xml:space="preserve"> </w:t>
      </w:r>
      <w:r w:rsidRPr="000B1E94">
        <w:rPr>
          <w:rFonts w:asciiTheme="majorHAnsi" w:hAnsiTheme="majorHAnsi"/>
          <w:sz w:val="28"/>
          <w:szCs w:val="28"/>
          <w:u w:val="single"/>
        </w:rPr>
        <w:t>MATERIAL</w:t>
      </w:r>
      <w:r w:rsidRPr="000B1E94">
        <w:rPr>
          <w:rFonts w:asciiTheme="majorHAnsi" w:hAnsiTheme="majorHAnsi"/>
          <w:spacing w:val="-4"/>
          <w:sz w:val="28"/>
          <w:szCs w:val="28"/>
          <w:u w:val="single"/>
        </w:rPr>
        <w:t xml:space="preserve"> </w:t>
      </w:r>
      <w:r w:rsidRPr="000B1E94">
        <w:rPr>
          <w:rFonts w:asciiTheme="majorHAnsi" w:hAnsiTheme="majorHAnsi"/>
          <w:sz w:val="28"/>
          <w:szCs w:val="28"/>
          <w:u w:val="single"/>
        </w:rPr>
        <w:t>SUBSIDIARIES</w:t>
      </w:r>
      <w:r w:rsidRPr="000B1E94">
        <w:rPr>
          <w:rFonts w:asciiTheme="majorHAnsi" w:hAnsiTheme="majorHAnsi"/>
          <w:spacing w:val="-6"/>
          <w:sz w:val="28"/>
          <w:szCs w:val="28"/>
          <w:u w:val="single"/>
        </w:rPr>
        <w:t xml:space="preserve"> </w:t>
      </w:r>
      <w:r w:rsidRPr="000B1E94">
        <w:rPr>
          <w:rFonts w:asciiTheme="majorHAnsi" w:hAnsiTheme="majorHAnsi"/>
          <w:sz w:val="28"/>
          <w:szCs w:val="28"/>
          <w:u w:val="single"/>
        </w:rPr>
        <w:t>AND</w:t>
      </w:r>
      <w:r w:rsidRPr="000B1E94">
        <w:rPr>
          <w:rFonts w:asciiTheme="majorHAnsi" w:hAnsiTheme="majorHAnsi"/>
          <w:spacing w:val="-7"/>
          <w:sz w:val="28"/>
          <w:szCs w:val="28"/>
          <w:u w:val="single"/>
        </w:rPr>
        <w:t xml:space="preserve"> </w:t>
      </w:r>
      <w:proofErr w:type="gramStart"/>
      <w:r w:rsidRPr="000B1E94">
        <w:rPr>
          <w:rFonts w:asciiTheme="majorHAnsi" w:hAnsiTheme="majorHAnsi"/>
          <w:sz w:val="28"/>
          <w:szCs w:val="28"/>
          <w:u w:val="single"/>
        </w:rPr>
        <w:t>GOVERNANCE</w:t>
      </w:r>
      <w:r w:rsidRPr="000B1E94">
        <w:rPr>
          <w:rFonts w:asciiTheme="majorHAnsi" w:hAnsiTheme="majorHAnsi"/>
          <w:spacing w:val="-6"/>
          <w:sz w:val="28"/>
          <w:szCs w:val="28"/>
          <w:u w:val="single"/>
        </w:rPr>
        <w:t xml:space="preserve"> </w:t>
      </w:r>
      <w:r w:rsidRPr="000B1E94">
        <w:rPr>
          <w:rFonts w:asciiTheme="majorHAnsi" w:hAnsiTheme="majorHAnsi"/>
          <w:spacing w:val="-6"/>
          <w:sz w:val="28"/>
          <w:szCs w:val="28"/>
        </w:rPr>
        <w:t xml:space="preserve"> </w:t>
      </w:r>
      <w:r w:rsidRPr="000B1E94">
        <w:rPr>
          <w:rFonts w:asciiTheme="majorHAnsi" w:hAnsiTheme="majorHAnsi"/>
          <w:sz w:val="28"/>
          <w:szCs w:val="28"/>
          <w:u w:val="single"/>
        </w:rPr>
        <w:t>FRAMEWORK</w:t>
      </w:r>
      <w:proofErr w:type="gramEnd"/>
      <w:r w:rsidRPr="000B1E94">
        <w:rPr>
          <w:rFonts w:asciiTheme="majorHAnsi" w:hAnsiTheme="majorHAnsi"/>
          <w:sz w:val="28"/>
          <w:szCs w:val="28"/>
          <w:u w:val="single"/>
        </w:rPr>
        <w:t xml:space="preserve"> IN RELATION THERETO</w:t>
      </w:r>
    </w:p>
    <w:p w:rsidR="000B1E94" w:rsidRPr="000B1E94" w:rsidRDefault="000B1E94" w:rsidP="000B1E94">
      <w:pPr>
        <w:pStyle w:val="Heading1"/>
        <w:spacing w:before="240" w:line="276" w:lineRule="auto"/>
        <w:ind w:left="629" w:firstLine="0"/>
        <w:rPr>
          <w:rFonts w:asciiTheme="majorHAnsi" w:hAnsiTheme="majorHAnsi"/>
          <w:u w:val="single"/>
        </w:rPr>
      </w:pPr>
    </w:p>
    <w:p w:rsidR="000B1E94" w:rsidRPr="000B1E94" w:rsidRDefault="000B1E94" w:rsidP="000B1E94">
      <w:pPr>
        <w:pStyle w:val="BodyText"/>
        <w:tabs>
          <w:tab w:val="left" w:pos="827"/>
          <w:tab w:val="right" w:pos="11340"/>
        </w:tabs>
        <w:spacing w:line="276" w:lineRule="auto"/>
        <w:ind w:left="-426" w:right="-22"/>
        <w:jc w:val="center"/>
        <w:rPr>
          <w:rFonts w:asciiTheme="majorHAnsi" w:hAnsiTheme="majorHAnsi"/>
          <w:b/>
          <w:color w:val="000000" w:themeColor="text1"/>
          <w:sz w:val="72"/>
          <w:szCs w:val="72"/>
        </w:rPr>
      </w:pPr>
      <w:r w:rsidRPr="000B1E94">
        <w:rPr>
          <w:rFonts w:asciiTheme="majorHAnsi" w:hAnsiTheme="majorHAnsi"/>
          <w:noProof/>
          <w:color w:val="000000" w:themeColor="text1"/>
          <w:sz w:val="24"/>
          <w:szCs w:val="24"/>
        </w:rPr>
        <mc:AlternateContent>
          <mc:Choice Requires="wps">
            <w:drawing>
              <wp:anchor distT="0" distB="0" distL="114300" distR="114300" simplePos="0" relativeHeight="251657216" behindDoc="1" locked="0" layoutInCell="1" allowOverlap="1">
                <wp:simplePos x="0" y="0"/>
                <wp:positionH relativeFrom="margin">
                  <wp:posOffset>1647190</wp:posOffset>
                </wp:positionH>
                <wp:positionV relativeFrom="page">
                  <wp:posOffset>2640330</wp:posOffset>
                </wp:positionV>
                <wp:extent cx="2273300" cy="1909445"/>
                <wp:effectExtent l="3175" t="0" r="0" b="5080"/>
                <wp:wrapNone/>
                <wp:docPr id="1640403607"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3300" cy="1909445"/>
                        </a:xfrm>
                        <a:custGeom>
                          <a:avLst/>
                          <a:gdLst>
                            <a:gd name="T0" fmla="*/ 180876 w 1021"/>
                            <a:gd name="T1" fmla="*/ 2916283 h 1023"/>
                            <a:gd name="T2" fmla="*/ 650714 w 1021"/>
                            <a:gd name="T3" fmla="*/ 3214850 h 1023"/>
                            <a:gd name="T4" fmla="*/ 1297017 w 1021"/>
                            <a:gd name="T5" fmla="*/ 3282633 h 1023"/>
                            <a:gd name="T6" fmla="*/ 1124964 w 1021"/>
                            <a:gd name="T7" fmla="*/ 3185801 h 1023"/>
                            <a:gd name="T8" fmla="*/ 485278 w 1021"/>
                            <a:gd name="T9" fmla="*/ 3011501 h 1023"/>
                            <a:gd name="T10" fmla="*/ 2249927 w 1021"/>
                            <a:gd name="T11" fmla="*/ 2415979 h 1023"/>
                            <a:gd name="T12" fmla="*/ 1839646 w 1021"/>
                            <a:gd name="T13" fmla="*/ 2470851 h 1023"/>
                            <a:gd name="T14" fmla="*/ 2080080 w 1021"/>
                            <a:gd name="T15" fmla="*/ 2637081 h 1023"/>
                            <a:gd name="T16" fmla="*/ 1735973 w 1021"/>
                            <a:gd name="T17" fmla="*/ 3029254 h 1023"/>
                            <a:gd name="T18" fmla="*/ 1124964 w 1021"/>
                            <a:gd name="T19" fmla="*/ 3185801 h 1023"/>
                            <a:gd name="T20" fmla="*/ 1996259 w 1021"/>
                            <a:gd name="T21" fmla="*/ 2992135 h 1023"/>
                            <a:gd name="T22" fmla="*/ 2221252 w 1021"/>
                            <a:gd name="T23" fmla="*/ 2661289 h 1023"/>
                            <a:gd name="T24" fmla="*/ 2245516 w 1021"/>
                            <a:gd name="T25" fmla="*/ 2561229 h 1023"/>
                            <a:gd name="T26" fmla="*/ 2249927 w 1021"/>
                            <a:gd name="T27" fmla="*/ 2424049 h 1023"/>
                            <a:gd name="T28" fmla="*/ 489690 w 1021"/>
                            <a:gd name="T29" fmla="*/ 2874322 h 1023"/>
                            <a:gd name="T30" fmla="*/ 555864 w 1021"/>
                            <a:gd name="T31" fmla="*/ 2867866 h 1023"/>
                            <a:gd name="T32" fmla="*/ 668361 w 1021"/>
                            <a:gd name="T33" fmla="*/ 2817836 h 1023"/>
                            <a:gd name="T34" fmla="*/ 703654 w 1021"/>
                            <a:gd name="T35" fmla="*/ 2774261 h 1023"/>
                            <a:gd name="T36" fmla="*/ 1530833 w 1021"/>
                            <a:gd name="T37" fmla="*/ 2775875 h 1023"/>
                            <a:gd name="T38" fmla="*/ 1561714 w 1021"/>
                            <a:gd name="T39" fmla="*/ 2819450 h 1023"/>
                            <a:gd name="T40" fmla="*/ 1652152 w 1021"/>
                            <a:gd name="T41" fmla="*/ 2864638 h 1023"/>
                            <a:gd name="T42" fmla="*/ 1552891 w 1021"/>
                            <a:gd name="T43" fmla="*/ 2514426 h 1023"/>
                            <a:gd name="T44" fmla="*/ 866884 w 1021"/>
                            <a:gd name="T45" fmla="*/ 2612873 h 1023"/>
                            <a:gd name="T46" fmla="*/ 904382 w 1021"/>
                            <a:gd name="T47" fmla="*/ 2688725 h 1023"/>
                            <a:gd name="T48" fmla="*/ 1008056 w 1021"/>
                            <a:gd name="T49" fmla="*/ 2659675 h 1023"/>
                            <a:gd name="T50" fmla="*/ 970557 w 1021"/>
                            <a:gd name="T51" fmla="*/ 2583823 h 1023"/>
                            <a:gd name="T52" fmla="*/ 1069818 w 1021"/>
                            <a:gd name="T53" fmla="*/ 2593506 h 1023"/>
                            <a:gd name="T54" fmla="*/ 1065407 w 1021"/>
                            <a:gd name="T55" fmla="*/ 2674200 h 1023"/>
                            <a:gd name="T56" fmla="*/ 1175697 w 1021"/>
                            <a:gd name="T57" fmla="*/ 2677428 h 1023"/>
                            <a:gd name="T58" fmla="*/ 1180109 w 1021"/>
                            <a:gd name="T59" fmla="*/ 2596734 h 1023"/>
                            <a:gd name="T60" fmla="*/ 1279370 w 1021"/>
                            <a:gd name="T61" fmla="*/ 2582209 h 1023"/>
                            <a:gd name="T62" fmla="*/ 1233048 w 1021"/>
                            <a:gd name="T63" fmla="*/ 2656448 h 1023"/>
                            <a:gd name="T64" fmla="*/ 1334516 w 1021"/>
                            <a:gd name="T65" fmla="*/ 2688725 h 1023"/>
                            <a:gd name="T66" fmla="*/ 1380838 w 1021"/>
                            <a:gd name="T67" fmla="*/ 2616101 h 1023"/>
                            <a:gd name="T68" fmla="*/ 1124964 w 1021"/>
                            <a:gd name="T69" fmla="*/ 1641317 h 1023"/>
                            <a:gd name="T70" fmla="*/ 494102 w 1021"/>
                            <a:gd name="T71" fmla="*/ 1783338 h 1023"/>
                            <a:gd name="T72" fmla="*/ 86027 w 1021"/>
                            <a:gd name="T73" fmla="*/ 2144848 h 1023"/>
                            <a:gd name="T74" fmla="*/ 15441 w 1021"/>
                            <a:gd name="T75" fmla="*/ 2323988 h 1023"/>
                            <a:gd name="T76" fmla="*/ 2206 w 1021"/>
                            <a:gd name="T77" fmla="*/ 2516040 h 1023"/>
                            <a:gd name="T78" fmla="*/ 377194 w 1021"/>
                            <a:gd name="T79" fmla="*/ 2443415 h 1023"/>
                            <a:gd name="T80" fmla="*/ 222787 w 1021"/>
                            <a:gd name="T81" fmla="*/ 2180353 h 1023"/>
                            <a:gd name="T82" fmla="*/ 648508 w 1021"/>
                            <a:gd name="T83" fmla="*/ 1838210 h 1023"/>
                            <a:gd name="T84" fmla="*/ 1674211 w 1021"/>
                            <a:gd name="T85" fmla="*/ 1747833 h 1023"/>
                            <a:gd name="T86" fmla="*/ 1124964 w 1021"/>
                            <a:gd name="T87" fmla="*/ 1641317 h 1023"/>
                            <a:gd name="T88" fmla="*/ 443368 w 1021"/>
                            <a:gd name="T89" fmla="*/ 2453099 h 1023"/>
                            <a:gd name="T90" fmla="*/ 527189 w 1021"/>
                            <a:gd name="T91" fmla="*/ 2509585 h 1023"/>
                            <a:gd name="T92" fmla="*/ 593363 w 1021"/>
                            <a:gd name="T93" fmla="*/ 2514426 h 1023"/>
                            <a:gd name="T94" fmla="*/ 1769060 w 1021"/>
                            <a:gd name="T95" fmla="*/ 2486990 h 1023"/>
                            <a:gd name="T96" fmla="*/ 1817588 w 1021"/>
                            <a:gd name="T97" fmla="*/ 2415979 h 1023"/>
                            <a:gd name="T98" fmla="*/ 361753 w 1021"/>
                            <a:gd name="T99" fmla="*/ 2414366 h 1023"/>
                            <a:gd name="T100" fmla="*/ 860266 w 1021"/>
                            <a:gd name="T101" fmla="*/ 2228769 h 1023"/>
                            <a:gd name="T102" fmla="*/ 924235 w 1021"/>
                            <a:gd name="T103" fmla="*/ 2385316 h 1023"/>
                            <a:gd name="T104" fmla="*/ 1122758 w 1021"/>
                            <a:gd name="T105" fmla="*/ 1767199 h 1023"/>
                            <a:gd name="T106" fmla="*/ 1497746 w 1021"/>
                            <a:gd name="T107" fmla="*/ 2415979 h 1023"/>
                            <a:gd name="T108" fmla="*/ 1303634 w 1021"/>
                            <a:gd name="T109" fmla="*/ 1759130 h 1023"/>
                            <a:gd name="T110" fmla="*/ 1883763 w 1021"/>
                            <a:gd name="T111" fmla="*/ 2010895 h 1023"/>
                            <a:gd name="T112" fmla="*/ 2146254 w 1021"/>
                            <a:gd name="T113" fmla="*/ 2117412 h 1023"/>
                            <a:gd name="T114" fmla="*/ 1738179 w 1021"/>
                            <a:gd name="T115" fmla="*/ 1775269 h 1023"/>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021" h="1023">
                              <a:moveTo>
                                <a:pt x="90" y="659"/>
                              </a:moveTo>
                              <a:lnTo>
                                <a:pt x="21" y="659"/>
                              </a:lnTo>
                              <a:lnTo>
                                <a:pt x="47" y="728"/>
                              </a:lnTo>
                              <a:lnTo>
                                <a:pt x="82" y="790"/>
                              </a:lnTo>
                              <a:lnTo>
                                <a:pt x="125" y="847"/>
                              </a:lnTo>
                              <a:lnTo>
                                <a:pt x="175" y="898"/>
                              </a:lnTo>
                              <a:lnTo>
                                <a:pt x="232" y="940"/>
                              </a:lnTo>
                              <a:lnTo>
                                <a:pt x="295" y="975"/>
                              </a:lnTo>
                              <a:lnTo>
                                <a:pt x="363" y="1001"/>
                              </a:lnTo>
                              <a:lnTo>
                                <a:pt x="435" y="1017"/>
                              </a:lnTo>
                              <a:lnTo>
                                <a:pt x="510" y="1023"/>
                              </a:lnTo>
                              <a:lnTo>
                                <a:pt x="588" y="1017"/>
                              </a:lnTo>
                              <a:lnTo>
                                <a:pt x="662" y="1000"/>
                              </a:lnTo>
                              <a:lnTo>
                                <a:pt x="732" y="972"/>
                              </a:lnTo>
                              <a:lnTo>
                                <a:pt x="758" y="957"/>
                              </a:lnTo>
                              <a:lnTo>
                                <a:pt x="510" y="957"/>
                              </a:lnTo>
                              <a:lnTo>
                                <a:pt x="429" y="950"/>
                              </a:lnTo>
                              <a:lnTo>
                                <a:pt x="352" y="928"/>
                              </a:lnTo>
                              <a:lnTo>
                                <a:pt x="282" y="894"/>
                              </a:lnTo>
                              <a:lnTo>
                                <a:pt x="220" y="849"/>
                              </a:lnTo>
                              <a:lnTo>
                                <a:pt x="166" y="794"/>
                              </a:lnTo>
                              <a:lnTo>
                                <a:pt x="122" y="730"/>
                              </a:lnTo>
                              <a:lnTo>
                                <a:pt x="90" y="659"/>
                              </a:lnTo>
                              <a:close/>
                              <a:moveTo>
                                <a:pt x="1020" y="480"/>
                              </a:moveTo>
                              <a:lnTo>
                                <a:pt x="844" y="480"/>
                              </a:lnTo>
                              <a:lnTo>
                                <a:pt x="841" y="495"/>
                              </a:lnTo>
                              <a:lnTo>
                                <a:pt x="841" y="497"/>
                              </a:lnTo>
                              <a:lnTo>
                                <a:pt x="834" y="514"/>
                              </a:lnTo>
                              <a:lnTo>
                                <a:pt x="823" y="530"/>
                              </a:lnTo>
                              <a:lnTo>
                                <a:pt x="811" y="541"/>
                              </a:lnTo>
                              <a:lnTo>
                                <a:pt x="955" y="542"/>
                              </a:lnTo>
                              <a:lnTo>
                                <a:pt x="943" y="617"/>
                              </a:lnTo>
                              <a:lnTo>
                                <a:pt x="919" y="688"/>
                              </a:lnTo>
                              <a:lnTo>
                                <a:pt x="885" y="753"/>
                              </a:lnTo>
                              <a:lnTo>
                                <a:pt x="840" y="810"/>
                              </a:lnTo>
                              <a:lnTo>
                                <a:pt x="787" y="860"/>
                              </a:lnTo>
                              <a:lnTo>
                                <a:pt x="727" y="901"/>
                              </a:lnTo>
                              <a:lnTo>
                                <a:pt x="659" y="931"/>
                              </a:lnTo>
                              <a:lnTo>
                                <a:pt x="587" y="950"/>
                              </a:lnTo>
                              <a:lnTo>
                                <a:pt x="510" y="957"/>
                              </a:lnTo>
                              <a:lnTo>
                                <a:pt x="758" y="957"/>
                              </a:lnTo>
                              <a:lnTo>
                                <a:pt x="796" y="935"/>
                              </a:lnTo>
                              <a:lnTo>
                                <a:pt x="854" y="890"/>
                              </a:lnTo>
                              <a:lnTo>
                                <a:pt x="905" y="837"/>
                              </a:lnTo>
                              <a:lnTo>
                                <a:pt x="947" y="777"/>
                              </a:lnTo>
                              <a:lnTo>
                                <a:pt x="981" y="711"/>
                              </a:lnTo>
                              <a:lnTo>
                                <a:pt x="1005" y="639"/>
                              </a:lnTo>
                              <a:lnTo>
                                <a:pt x="1007" y="632"/>
                              </a:lnTo>
                              <a:lnTo>
                                <a:pt x="1008" y="629"/>
                              </a:lnTo>
                              <a:lnTo>
                                <a:pt x="1008" y="628"/>
                              </a:lnTo>
                              <a:lnTo>
                                <a:pt x="1014" y="598"/>
                              </a:lnTo>
                              <a:lnTo>
                                <a:pt x="1018" y="570"/>
                              </a:lnTo>
                              <a:lnTo>
                                <a:pt x="1020" y="542"/>
                              </a:lnTo>
                              <a:lnTo>
                                <a:pt x="1021" y="515"/>
                              </a:lnTo>
                              <a:lnTo>
                                <a:pt x="1021" y="495"/>
                              </a:lnTo>
                              <a:lnTo>
                                <a:pt x="1020" y="485"/>
                              </a:lnTo>
                              <a:lnTo>
                                <a:pt x="1020" y="480"/>
                              </a:lnTo>
                              <a:close/>
                              <a:moveTo>
                                <a:pt x="385" y="541"/>
                              </a:moveTo>
                              <a:lnTo>
                                <a:pt x="316" y="541"/>
                              </a:lnTo>
                              <a:lnTo>
                                <a:pt x="222" y="764"/>
                              </a:lnTo>
                              <a:lnTo>
                                <a:pt x="232" y="762"/>
                              </a:lnTo>
                              <a:lnTo>
                                <a:pt x="239" y="762"/>
                              </a:lnTo>
                              <a:lnTo>
                                <a:pt x="246" y="761"/>
                              </a:lnTo>
                              <a:lnTo>
                                <a:pt x="252" y="760"/>
                              </a:lnTo>
                              <a:lnTo>
                                <a:pt x="267" y="756"/>
                              </a:lnTo>
                              <a:lnTo>
                                <a:pt x="281" y="749"/>
                              </a:lnTo>
                              <a:lnTo>
                                <a:pt x="293" y="740"/>
                              </a:lnTo>
                              <a:lnTo>
                                <a:pt x="303" y="729"/>
                              </a:lnTo>
                              <a:lnTo>
                                <a:pt x="307" y="725"/>
                              </a:lnTo>
                              <a:lnTo>
                                <a:pt x="309" y="721"/>
                              </a:lnTo>
                              <a:lnTo>
                                <a:pt x="315" y="712"/>
                              </a:lnTo>
                              <a:lnTo>
                                <a:pt x="319" y="702"/>
                              </a:lnTo>
                              <a:lnTo>
                                <a:pt x="385" y="541"/>
                              </a:lnTo>
                              <a:close/>
                              <a:moveTo>
                                <a:pt x="704" y="541"/>
                              </a:moveTo>
                              <a:lnTo>
                                <a:pt x="630" y="541"/>
                              </a:lnTo>
                              <a:lnTo>
                                <a:pt x="694" y="703"/>
                              </a:lnTo>
                              <a:lnTo>
                                <a:pt x="698" y="713"/>
                              </a:lnTo>
                              <a:lnTo>
                                <a:pt x="700" y="717"/>
                              </a:lnTo>
                              <a:lnTo>
                                <a:pt x="704" y="724"/>
                              </a:lnTo>
                              <a:lnTo>
                                <a:pt x="708" y="730"/>
                              </a:lnTo>
                              <a:lnTo>
                                <a:pt x="713" y="735"/>
                              </a:lnTo>
                              <a:lnTo>
                                <a:pt x="724" y="745"/>
                              </a:lnTo>
                              <a:lnTo>
                                <a:pt x="736" y="753"/>
                              </a:lnTo>
                              <a:lnTo>
                                <a:pt x="749" y="758"/>
                              </a:lnTo>
                              <a:lnTo>
                                <a:pt x="764" y="761"/>
                              </a:lnTo>
                              <a:lnTo>
                                <a:pt x="778" y="763"/>
                              </a:lnTo>
                              <a:lnTo>
                                <a:pt x="793" y="762"/>
                              </a:lnTo>
                              <a:lnTo>
                                <a:pt x="704" y="541"/>
                              </a:lnTo>
                              <a:close/>
                              <a:moveTo>
                                <a:pt x="426" y="581"/>
                              </a:moveTo>
                              <a:lnTo>
                                <a:pt x="413" y="583"/>
                              </a:lnTo>
                              <a:lnTo>
                                <a:pt x="401" y="590"/>
                              </a:lnTo>
                              <a:lnTo>
                                <a:pt x="393" y="602"/>
                              </a:lnTo>
                              <a:lnTo>
                                <a:pt x="390" y="615"/>
                              </a:lnTo>
                              <a:lnTo>
                                <a:pt x="392" y="629"/>
                              </a:lnTo>
                              <a:lnTo>
                                <a:pt x="399" y="640"/>
                              </a:lnTo>
                              <a:lnTo>
                                <a:pt x="410" y="649"/>
                              </a:lnTo>
                              <a:lnTo>
                                <a:pt x="424" y="652"/>
                              </a:lnTo>
                              <a:lnTo>
                                <a:pt x="438" y="649"/>
                              </a:lnTo>
                              <a:lnTo>
                                <a:pt x="449" y="642"/>
                              </a:lnTo>
                              <a:lnTo>
                                <a:pt x="457" y="631"/>
                              </a:lnTo>
                              <a:lnTo>
                                <a:pt x="461" y="617"/>
                              </a:lnTo>
                              <a:lnTo>
                                <a:pt x="458" y="604"/>
                              </a:lnTo>
                              <a:lnTo>
                                <a:pt x="451" y="592"/>
                              </a:lnTo>
                              <a:lnTo>
                                <a:pt x="440" y="584"/>
                              </a:lnTo>
                              <a:lnTo>
                                <a:pt x="426" y="581"/>
                              </a:lnTo>
                              <a:close/>
                              <a:moveTo>
                                <a:pt x="510" y="581"/>
                              </a:moveTo>
                              <a:lnTo>
                                <a:pt x="496" y="583"/>
                              </a:lnTo>
                              <a:lnTo>
                                <a:pt x="485" y="590"/>
                              </a:lnTo>
                              <a:lnTo>
                                <a:pt x="477" y="602"/>
                              </a:lnTo>
                              <a:lnTo>
                                <a:pt x="473" y="615"/>
                              </a:lnTo>
                              <a:lnTo>
                                <a:pt x="476" y="629"/>
                              </a:lnTo>
                              <a:lnTo>
                                <a:pt x="483" y="640"/>
                              </a:lnTo>
                              <a:lnTo>
                                <a:pt x="494" y="649"/>
                              </a:lnTo>
                              <a:lnTo>
                                <a:pt x="508" y="652"/>
                              </a:lnTo>
                              <a:lnTo>
                                <a:pt x="521" y="649"/>
                              </a:lnTo>
                              <a:lnTo>
                                <a:pt x="533" y="642"/>
                              </a:lnTo>
                              <a:lnTo>
                                <a:pt x="541" y="631"/>
                              </a:lnTo>
                              <a:lnTo>
                                <a:pt x="544" y="617"/>
                              </a:lnTo>
                              <a:lnTo>
                                <a:pt x="542" y="604"/>
                              </a:lnTo>
                              <a:lnTo>
                                <a:pt x="535" y="592"/>
                              </a:lnTo>
                              <a:lnTo>
                                <a:pt x="524" y="584"/>
                              </a:lnTo>
                              <a:lnTo>
                                <a:pt x="510" y="581"/>
                              </a:lnTo>
                              <a:close/>
                              <a:moveTo>
                                <a:pt x="594" y="581"/>
                              </a:moveTo>
                              <a:lnTo>
                                <a:pt x="580" y="583"/>
                              </a:lnTo>
                              <a:lnTo>
                                <a:pt x="569" y="590"/>
                              </a:lnTo>
                              <a:lnTo>
                                <a:pt x="560" y="602"/>
                              </a:lnTo>
                              <a:lnTo>
                                <a:pt x="557" y="615"/>
                              </a:lnTo>
                              <a:lnTo>
                                <a:pt x="559" y="629"/>
                              </a:lnTo>
                              <a:lnTo>
                                <a:pt x="567" y="640"/>
                              </a:lnTo>
                              <a:lnTo>
                                <a:pt x="578" y="649"/>
                              </a:lnTo>
                              <a:lnTo>
                                <a:pt x="592" y="652"/>
                              </a:lnTo>
                              <a:lnTo>
                                <a:pt x="605" y="649"/>
                              </a:lnTo>
                              <a:lnTo>
                                <a:pt x="617" y="642"/>
                              </a:lnTo>
                              <a:lnTo>
                                <a:pt x="625" y="631"/>
                              </a:lnTo>
                              <a:lnTo>
                                <a:pt x="628" y="617"/>
                              </a:lnTo>
                              <a:lnTo>
                                <a:pt x="626" y="604"/>
                              </a:lnTo>
                              <a:lnTo>
                                <a:pt x="619" y="592"/>
                              </a:lnTo>
                              <a:lnTo>
                                <a:pt x="607" y="584"/>
                              </a:lnTo>
                              <a:lnTo>
                                <a:pt x="594" y="581"/>
                              </a:lnTo>
                              <a:close/>
                              <a:moveTo>
                                <a:pt x="510" y="0"/>
                              </a:moveTo>
                              <a:lnTo>
                                <a:pt x="432" y="6"/>
                              </a:lnTo>
                              <a:lnTo>
                                <a:pt x="358" y="23"/>
                              </a:lnTo>
                              <a:lnTo>
                                <a:pt x="289" y="51"/>
                              </a:lnTo>
                              <a:lnTo>
                                <a:pt x="224" y="88"/>
                              </a:lnTo>
                              <a:lnTo>
                                <a:pt x="166" y="133"/>
                              </a:lnTo>
                              <a:lnTo>
                                <a:pt x="116" y="186"/>
                              </a:lnTo>
                              <a:lnTo>
                                <a:pt x="73" y="246"/>
                              </a:lnTo>
                              <a:lnTo>
                                <a:pt x="39" y="312"/>
                              </a:lnTo>
                              <a:lnTo>
                                <a:pt x="15" y="384"/>
                              </a:lnTo>
                              <a:lnTo>
                                <a:pt x="13" y="391"/>
                              </a:lnTo>
                              <a:lnTo>
                                <a:pt x="12" y="394"/>
                              </a:lnTo>
                              <a:lnTo>
                                <a:pt x="7" y="423"/>
                              </a:lnTo>
                              <a:lnTo>
                                <a:pt x="3" y="451"/>
                              </a:lnTo>
                              <a:lnTo>
                                <a:pt x="0" y="479"/>
                              </a:lnTo>
                              <a:lnTo>
                                <a:pt x="0" y="524"/>
                              </a:lnTo>
                              <a:lnTo>
                                <a:pt x="1" y="542"/>
                              </a:lnTo>
                              <a:lnTo>
                                <a:pt x="205" y="542"/>
                              </a:lnTo>
                              <a:lnTo>
                                <a:pt x="192" y="531"/>
                              </a:lnTo>
                              <a:lnTo>
                                <a:pt x="180" y="515"/>
                              </a:lnTo>
                              <a:lnTo>
                                <a:pt x="171" y="497"/>
                              </a:lnTo>
                              <a:lnTo>
                                <a:pt x="165" y="480"/>
                              </a:lnTo>
                              <a:lnTo>
                                <a:pt x="66" y="480"/>
                              </a:lnTo>
                              <a:lnTo>
                                <a:pt x="78" y="405"/>
                              </a:lnTo>
                              <a:lnTo>
                                <a:pt x="101" y="334"/>
                              </a:lnTo>
                              <a:lnTo>
                                <a:pt x="136" y="270"/>
                              </a:lnTo>
                              <a:lnTo>
                                <a:pt x="180" y="212"/>
                              </a:lnTo>
                              <a:lnTo>
                                <a:pt x="233" y="162"/>
                              </a:lnTo>
                              <a:lnTo>
                                <a:pt x="294" y="122"/>
                              </a:lnTo>
                              <a:lnTo>
                                <a:pt x="361" y="92"/>
                              </a:lnTo>
                              <a:lnTo>
                                <a:pt x="434" y="73"/>
                              </a:lnTo>
                              <a:lnTo>
                                <a:pt x="510" y="66"/>
                              </a:lnTo>
                              <a:lnTo>
                                <a:pt x="759" y="66"/>
                              </a:lnTo>
                              <a:lnTo>
                                <a:pt x="725" y="48"/>
                              </a:lnTo>
                              <a:lnTo>
                                <a:pt x="658" y="22"/>
                              </a:lnTo>
                              <a:lnTo>
                                <a:pt x="586" y="6"/>
                              </a:lnTo>
                              <a:lnTo>
                                <a:pt x="510" y="0"/>
                              </a:lnTo>
                              <a:close/>
                              <a:moveTo>
                                <a:pt x="824" y="480"/>
                              </a:moveTo>
                              <a:lnTo>
                                <a:pt x="191" y="480"/>
                              </a:lnTo>
                              <a:lnTo>
                                <a:pt x="197" y="496"/>
                              </a:lnTo>
                              <a:lnTo>
                                <a:pt x="201" y="503"/>
                              </a:lnTo>
                              <a:lnTo>
                                <a:pt x="207" y="512"/>
                              </a:lnTo>
                              <a:lnTo>
                                <a:pt x="216" y="524"/>
                              </a:lnTo>
                              <a:lnTo>
                                <a:pt x="227" y="533"/>
                              </a:lnTo>
                              <a:lnTo>
                                <a:pt x="239" y="538"/>
                              </a:lnTo>
                              <a:lnTo>
                                <a:pt x="252" y="541"/>
                              </a:lnTo>
                              <a:lnTo>
                                <a:pt x="258" y="542"/>
                              </a:lnTo>
                              <a:lnTo>
                                <a:pt x="263" y="542"/>
                              </a:lnTo>
                              <a:lnTo>
                                <a:pt x="269" y="541"/>
                              </a:lnTo>
                              <a:lnTo>
                                <a:pt x="765" y="541"/>
                              </a:lnTo>
                              <a:lnTo>
                                <a:pt x="779" y="539"/>
                              </a:lnTo>
                              <a:lnTo>
                                <a:pt x="791" y="533"/>
                              </a:lnTo>
                              <a:lnTo>
                                <a:pt x="802" y="524"/>
                              </a:lnTo>
                              <a:lnTo>
                                <a:pt x="812" y="512"/>
                              </a:lnTo>
                              <a:lnTo>
                                <a:pt x="819" y="498"/>
                              </a:lnTo>
                              <a:lnTo>
                                <a:pt x="822" y="490"/>
                              </a:lnTo>
                              <a:lnTo>
                                <a:pt x="824" y="480"/>
                              </a:lnTo>
                              <a:close/>
                              <a:moveTo>
                                <a:pt x="164" y="479"/>
                              </a:moveTo>
                              <a:lnTo>
                                <a:pt x="66" y="480"/>
                              </a:lnTo>
                              <a:lnTo>
                                <a:pt x="165" y="480"/>
                              </a:lnTo>
                              <a:lnTo>
                                <a:pt x="164" y="479"/>
                              </a:lnTo>
                              <a:close/>
                              <a:moveTo>
                                <a:pt x="509" y="78"/>
                              </a:moveTo>
                              <a:lnTo>
                                <a:pt x="457" y="202"/>
                              </a:lnTo>
                              <a:lnTo>
                                <a:pt x="456" y="205"/>
                              </a:lnTo>
                              <a:lnTo>
                                <a:pt x="390" y="364"/>
                              </a:lnTo>
                              <a:lnTo>
                                <a:pt x="350" y="461"/>
                              </a:lnTo>
                              <a:lnTo>
                                <a:pt x="342" y="480"/>
                              </a:lnTo>
                              <a:lnTo>
                                <a:pt x="411" y="480"/>
                              </a:lnTo>
                              <a:lnTo>
                                <a:pt x="419" y="461"/>
                              </a:lnTo>
                              <a:lnTo>
                                <a:pt x="482" y="307"/>
                              </a:lnTo>
                              <a:lnTo>
                                <a:pt x="510" y="238"/>
                              </a:lnTo>
                              <a:lnTo>
                                <a:pt x="577" y="238"/>
                              </a:lnTo>
                              <a:lnTo>
                                <a:pt x="509" y="78"/>
                              </a:lnTo>
                              <a:close/>
                              <a:moveTo>
                                <a:pt x="577" y="238"/>
                              </a:moveTo>
                              <a:lnTo>
                                <a:pt x="510" y="238"/>
                              </a:lnTo>
                              <a:lnTo>
                                <a:pt x="606" y="480"/>
                              </a:lnTo>
                              <a:lnTo>
                                <a:pt x="679" y="480"/>
                              </a:lnTo>
                              <a:lnTo>
                                <a:pt x="577" y="238"/>
                              </a:lnTo>
                              <a:close/>
                              <a:moveTo>
                                <a:pt x="759" y="66"/>
                              </a:moveTo>
                              <a:lnTo>
                                <a:pt x="510" y="66"/>
                              </a:lnTo>
                              <a:lnTo>
                                <a:pt x="591" y="73"/>
                              </a:lnTo>
                              <a:lnTo>
                                <a:pt x="668" y="95"/>
                              </a:lnTo>
                              <a:lnTo>
                                <a:pt x="738" y="129"/>
                              </a:lnTo>
                              <a:lnTo>
                                <a:pt x="801" y="174"/>
                              </a:lnTo>
                              <a:lnTo>
                                <a:pt x="854" y="229"/>
                              </a:lnTo>
                              <a:lnTo>
                                <a:pt x="898" y="293"/>
                              </a:lnTo>
                              <a:lnTo>
                                <a:pt x="930" y="364"/>
                              </a:lnTo>
                              <a:lnTo>
                                <a:pt x="1000" y="364"/>
                              </a:lnTo>
                              <a:lnTo>
                                <a:pt x="973" y="295"/>
                              </a:lnTo>
                              <a:lnTo>
                                <a:pt x="939" y="233"/>
                              </a:lnTo>
                              <a:lnTo>
                                <a:pt x="896" y="176"/>
                              </a:lnTo>
                              <a:lnTo>
                                <a:pt x="845" y="125"/>
                              </a:lnTo>
                              <a:lnTo>
                                <a:pt x="788" y="83"/>
                              </a:lnTo>
                              <a:lnTo>
                                <a:pt x="759" y="66"/>
                              </a:lnTo>
                              <a:close/>
                            </a:path>
                          </a:pathLst>
                        </a:custGeom>
                        <a:solidFill>
                          <a:srgbClr val="09408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172EE" id="Freeform: Shape 2" o:spid="_x0000_s1026" style="position:absolute;margin-left:129.7pt;margin-top:207.9pt;width:179pt;height:150.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coordsize="1021,1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" path="m90,659r-69,l47,728r35,62l125,847r50,51l232,940r63,35l363,1001r72,16l510,1023r78,-6l662,1000r70,-28l758,957r-248,l429,950,352,928,282,894,220,849,166,794,122,730,90,659xm1020,480r-176,l841,495r,2l834,514r-11,16l811,541r144,1l943,617r-24,71l885,753r-45,57l787,860r-60,41l659,931r-72,19l510,957r248,l796,935r58,-45l905,837r42,-60l981,711r24,-72l1007,632r1,-3l1008,628r6,-30l1018,570r2,-28l1021,515r,-20l1020,485r,-5xm385,541r-69,l222,764r10,-2l239,762r7,-1l252,760r15,-4l281,749r12,-9l303,729r4,-4l309,721r6,-9l319,702,385,541xm704,541r-74,l694,703r4,10l700,717r4,7l708,730r5,5l724,745r12,8l749,758r15,3l778,763r15,-1l704,541xm426,581r-13,2l401,590r-8,12l390,615r2,14l399,640r11,9l424,652r14,-3l449,642r8,-11l461,617r-3,-13l451,592r-11,-8l426,581xm510,581r-14,2l485,590r-8,12l473,615r3,14l483,640r11,9l508,652r13,-3l533,642r8,-11l544,617r-2,-13l535,592r-11,-8l510,581xm594,581r-14,2l569,590r-9,12l557,615r2,14l567,640r11,9l592,652r13,-3l617,642r8,-11l628,617r-2,-13l619,592r-12,-8l594,581xm510,l432,6,358,23,289,51,224,88r-58,45l116,186,73,246,39,312,15,384r-2,7l12,394,7,423,3,451,,479r,45l1,542r204,l192,531,180,515r-9,-18l165,480r-99,l78,405r23,-71l136,270r44,-58l233,162r61,-40l361,92,434,73r76,-7l759,66,725,48,658,22,586,6,510,xm824,480r-633,l197,496r4,7l207,512r9,12l227,533r12,5l252,541r6,1l263,542r6,-1l765,541r14,-2l791,533r11,-9l812,512r7,-14l822,490r2,-10xm164,479r-98,1l165,480r-1,-1xm509,78l457,202r-1,3l390,364r-40,97l342,480r69,l419,461,482,307r28,-69l577,238,509,78xm577,238r-67,l606,480r73,l577,238xm759,66r-249,l591,73r77,22l738,129r63,45l854,229r44,64l930,364r70,l973,295,939,233,896,176,845,125,788,83,759,66xe" fillcolor="#094088" stroked="f">
                <v:path arrowok="t" o:connecttype="custom" o:connectlocs="402728120,2147483646;1448842445,2147483646;2147483646,2147483646;2147483646,2147483646;1080492142,2147483646;2147483646,2147483646;2147483646,2147483646;2147483646,2147483646;2147483646,2147483646;2147483646,2147483646;2147483646,2147483646;2147483646,2147483646;2147483646,2147483646;2147483646,2147483646;1090315648,2147483646;1237654879,2147483646;1488134242,2147483646;1566715610,2147483646;2147483646,2147483646;2147483646,2147483646;2147483646,2147483646;2147483646,2147483646;1930154160,2147483646;2013645054,2147483646;2147483646,2147483646;2147483646,2147483646;2147483646,2147483646;2147483646,2147483646;2147483646,2147483646;2147483646,2147483646;2147483646,2147483646;2147483646,2147483646;2147483646,2147483646;2147483646,2147483646;2147483646,2147483646;1100139154,2147483646;191542781,2147483646;34380044,2147483646;4911753,2147483646;839838511,2147483646;496044747,2147483646;1443930692,2147483646;2147483646,2147483646;2147483646,2147483646;987177742,2147483646;1173808770,2147483646;1321148000,2147483646;2147483646,2147483646;2147483646,2147483646;805458467,2147483646;1915418901,2147483646;2057848605,2147483646;2147483646,2147483646;2147483646,2147483646;2147483646,2147483646;2147483646,2147483646;2147483646,2147483646;2147483646,2147483646" o:connectangles="0,0,0,0,0,0,0,0,0,0,0,0,0,0,0,0,0,0,0,0,0,0,0,0,0,0,0,0,0,0,0,0,0,0,0,0,0,0,0,0,0,0,0,0,0,0,0,0,0,0,0,0,0,0,0,0,0,0"/>
                <w10:wrap anchorx="margin" anchory="page"/>
              </v:shape>
            </w:pict>
          </mc:Fallback>
        </mc:AlternateContent>
      </w:r>
    </w:p>
    <w:p w:rsidR="000B1E94" w:rsidRPr="000B1E94" w:rsidRDefault="000B1E94" w:rsidP="000B1E94">
      <w:pPr>
        <w:pStyle w:val="BodyText"/>
        <w:tabs>
          <w:tab w:val="left" w:pos="827"/>
          <w:tab w:val="right" w:pos="11340"/>
        </w:tabs>
        <w:spacing w:line="276" w:lineRule="auto"/>
        <w:ind w:left="-426" w:right="-22"/>
        <w:jc w:val="center"/>
        <w:rPr>
          <w:rFonts w:asciiTheme="majorHAnsi" w:hAnsiTheme="majorHAnsi"/>
          <w:b/>
          <w:color w:val="000000" w:themeColor="text1"/>
          <w:sz w:val="72"/>
          <w:szCs w:val="72"/>
        </w:rPr>
      </w:pPr>
    </w:p>
    <w:p w:rsidR="000B1E94" w:rsidRPr="000B1E94" w:rsidRDefault="000B1E94" w:rsidP="000B1E94">
      <w:pPr>
        <w:pStyle w:val="BodyText"/>
        <w:tabs>
          <w:tab w:val="left" w:pos="827"/>
          <w:tab w:val="right" w:pos="11340"/>
        </w:tabs>
        <w:spacing w:line="276" w:lineRule="auto"/>
        <w:ind w:left="-426" w:right="-22"/>
        <w:jc w:val="center"/>
        <w:rPr>
          <w:rFonts w:asciiTheme="majorHAnsi" w:hAnsiTheme="majorHAnsi"/>
          <w:b/>
          <w:color w:val="000000" w:themeColor="text1"/>
          <w:sz w:val="72"/>
          <w:szCs w:val="72"/>
        </w:rPr>
      </w:pPr>
    </w:p>
    <w:p w:rsidR="000B1E94" w:rsidRPr="000B1E94" w:rsidRDefault="000B1E94" w:rsidP="000B1E94">
      <w:pPr>
        <w:pStyle w:val="BodyText"/>
        <w:spacing w:line="276" w:lineRule="auto"/>
        <w:ind w:left="-426" w:right="-22"/>
        <w:jc w:val="center"/>
        <w:rPr>
          <w:rFonts w:asciiTheme="majorHAnsi" w:hAnsiTheme="majorHAnsi"/>
          <w:b/>
          <w:color w:val="000000" w:themeColor="text1"/>
          <w:sz w:val="72"/>
          <w:szCs w:val="72"/>
        </w:rPr>
      </w:pPr>
    </w:p>
    <w:p w:rsidR="000B1E94" w:rsidRPr="000B1E94" w:rsidRDefault="000B1E94" w:rsidP="000B1E94">
      <w:pPr>
        <w:pStyle w:val="BodyText"/>
        <w:spacing w:line="276" w:lineRule="auto"/>
        <w:ind w:left="-426" w:right="-22"/>
        <w:jc w:val="center"/>
        <w:rPr>
          <w:rFonts w:asciiTheme="majorHAnsi" w:hAnsiTheme="majorHAnsi"/>
          <w:b/>
          <w:color w:val="000000" w:themeColor="text1"/>
          <w:sz w:val="56"/>
          <w:szCs w:val="56"/>
        </w:rPr>
      </w:pPr>
    </w:p>
    <w:p w:rsidR="000B1E94" w:rsidRPr="000B1E94" w:rsidRDefault="000B1E94" w:rsidP="000B1E94">
      <w:pPr>
        <w:pStyle w:val="BodyText"/>
        <w:spacing w:line="276" w:lineRule="auto"/>
        <w:ind w:left="-426" w:right="-22"/>
        <w:jc w:val="center"/>
        <w:rPr>
          <w:rFonts w:asciiTheme="majorHAnsi" w:hAnsiTheme="majorHAnsi"/>
          <w:b/>
          <w:color w:val="000000" w:themeColor="text1"/>
          <w:sz w:val="56"/>
          <w:szCs w:val="56"/>
        </w:rPr>
      </w:pPr>
      <w:r w:rsidRPr="000B1E94">
        <w:rPr>
          <w:rFonts w:asciiTheme="majorHAnsi" w:hAnsiTheme="majorHAnsi"/>
          <w:b/>
          <w:color w:val="000000" w:themeColor="text1"/>
          <w:sz w:val="56"/>
          <w:szCs w:val="56"/>
        </w:rPr>
        <w:t>ABATE AS INDUSTRIES LIMITED</w:t>
      </w:r>
    </w:p>
    <w:p w:rsidR="000B1E94" w:rsidRPr="000B1E94" w:rsidRDefault="000B1E94" w:rsidP="000B1E94">
      <w:pPr>
        <w:pStyle w:val="BodyText"/>
        <w:spacing w:line="276" w:lineRule="auto"/>
        <w:ind w:left="-426" w:right="-22"/>
        <w:jc w:val="center"/>
        <w:rPr>
          <w:rFonts w:asciiTheme="majorHAnsi" w:hAnsiTheme="majorHAnsi"/>
          <w:b/>
          <w:color w:val="000000" w:themeColor="text1"/>
          <w:sz w:val="32"/>
          <w:szCs w:val="32"/>
        </w:rPr>
      </w:pPr>
      <w:r w:rsidRPr="000B1E94">
        <w:rPr>
          <w:rFonts w:asciiTheme="majorHAnsi" w:hAnsiTheme="majorHAnsi"/>
          <w:b/>
          <w:color w:val="000000" w:themeColor="text1"/>
          <w:sz w:val="32"/>
          <w:szCs w:val="32"/>
        </w:rPr>
        <w:t>(FORMERLY KNOWN AS TRIJAL INDUSTRIES LIMITED)</w:t>
      </w:r>
    </w:p>
    <w:p w:rsidR="000B1E94" w:rsidRPr="000B1E94" w:rsidRDefault="000B1E94" w:rsidP="000B1E94">
      <w:pPr>
        <w:spacing w:line="276" w:lineRule="auto"/>
        <w:ind w:left="-426" w:right="-22"/>
        <w:jc w:val="center"/>
        <w:rPr>
          <w:rFonts w:asciiTheme="majorHAnsi" w:hAnsiTheme="majorHAnsi"/>
          <w:b/>
          <w:color w:val="000000" w:themeColor="text1"/>
          <w:sz w:val="44"/>
          <w:szCs w:val="44"/>
        </w:rPr>
      </w:pPr>
      <w:r w:rsidRPr="000B1E94">
        <w:rPr>
          <w:rFonts w:asciiTheme="majorHAnsi" w:hAnsiTheme="majorHAnsi"/>
          <w:b/>
          <w:color w:val="000000" w:themeColor="text1"/>
          <w:sz w:val="44"/>
          <w:szCs w:val="44"/>
        </w:rPr>
        <w:t>CIN: L65990TZ1991PLC029162</w:t>
      </w:r>
    </w:p>
    <w:p w:rsidR="000B1E94" w:rsidRPr="000B1E94" w:rsidRDefault="000B1E94" w:rsidP="000B1E94">
      <w:pPr>
        <w:pStyle w:val="Heading1"/>
        <w:spacing w:before="240"/>
        <w:ind w:left="-284" w:firstLine="0"/>
        <w:jc w:val="center"/>
        <w:rPr>
          <w:rFonts w:asciiTheme="majorHAnsi" w:hAnsiTheme="majorHAnsi"/>
          <w:sz w:val="32"/>
          <w:szCs w:val="32"/>
          <w:lang w:val="en-IN"/>
        </w:rPr>
      </w:pPr>
      <w:r w:rsidRPr="000B1E94">
        <w:rPr>
          <w:rFonts w:asciiTheme="majorHAnsi" w:hAnsiTheme="majorHAnsi"/>
          <w:sz w:val="32"/>
          <w:szCs w:val="32"/>
          <w:lang w:val="en-IN"/>
        </w:rPr>
        <w:t xml:space="preserve">Regd. Office: SF NO 348/1, </w:t>
      </w:r>
      <w:proofErr w:type="spellStart"/>
      <w:r w:rsidRPr="000B1E94">
        <w:rPr>
          <w:rFonts w:asciiTheme="majorHAnsi" w:hAnsiTheme="majorHAnsi"/>
          <w:sz w:val="32"/>
          <w:szCs w:val="32"/>
          <w:lang w:val="en-IN"/>
        </w:rPr>
        <w:t>Ettimadai</w:t>
      </w:r>
      <w:proofErr w:type="spellEnd"/>
      <w:r w:rsidRPr="000B1E94">
        <w:rPr>
          <w:rFonts w:asciiTheme="majorHAnsi" w:hAnsiTheme="majorHAnsi"/>
          <w:sz w:val="32"/>
          <w:szCs w:val="32"/>
          <w:lang w:val="en-IN"/>
        </w:rPr>
        <w:t xml:space="preserve"> Village, Kg </w:t>
      </w:r>
      <w:proofErr w:type="spellStart"/>
      <w:r w:rsidRPr="000B1E94">
        <w:rPr>
          <w:rFonts w:asciiTheme="majorHAnsi" w:hAnsiTheme="majorHAnsi"/>
          <w:sz w:val="32"/>
          <w:szCs w:val="32"/>
          <w:lang w:val="en-IN"/>
        </w:rPr>
        <w:t>Chavady</w:t>
      </w:r>
      <w:proofErr w:type="spellEnd"/>
      <w:r w:rsidRPr="000B1E94">
        <w:rPr>
          <w:rFonts w:asciiTheme="majorHAnsi" w:hAnsiTheme="majorHAnsi"/>
          <w:sz w:val="32"/>
          <w:szCs w:val="32"/>
          <w:lang w:val="en-IN"/>
        </w:rPr>
        <w:t xml:space="preserve"> (</w:t>
      </w:r>
      <w:proofErr w:type="spellStart"/>
      <w:r w:rsidRPr="000B1E94">
        <w:rPr>
          <w:rFonts w:asciiTheme="majorHAnsi" w:hAnsiTheme="majorHAnsi"/>
          <w:sz w:val="32"/>
          <w:szCs w:val="32"/>
          <w:lang w:val="en-IN"/>
        </w:rPr>
        <w:t>Atm</w:t>
      </w:r>
      <w:proofErr w:type="spellEnd"/>
      <w:r w:rsidRPr="000B1E94">
        <w:rPr>
          <w:rFonts w:asciiTheme="majorHAnsi" w:hAnsiTheme="majorHAnsi"/>
          <w:sz w:val="32"/>
          <w:szCs w:val="32"/>
          <w:lang w:val="en-IN"/>
        </w:rPr>
        <w:t>), Coimbatore, Tamil Nadu, 641105.</w:t>
      </w:r>
    </w:p>
    <w:p w:rsidR="000B1E94" w:rsidRPr="000B1E94" w:rsidRDefault="000B1E94" w:rsidP="000B1E94">
      <w:pPr>
        <w:pStyle w:val="Heading1"/>
        <w:spacing w:before="240" w:line="276" w:lineRule="auto"/>
        <w:ind w:left="629" w:firstLine="0"/>
        <w:rPr>
          <w:rFonts w:asciiTheme="majorHAnsi" w:hAnsiTheme="majorHAnsi"/>
        </w:rPr>
      </w:pPr>
    </w:p>
    <w:p w:rsidR="000B1E94" w:rsidRPr="000B1E94" w:rsidRDefault="000B1E94" w:rsidP="000B1E94">
      <w:pPr>
        <w:pStyle w:val="Heading1"/>
        <w:spacing w:before="240" w:line="276" w:lineRule="auto"/>
        <w:ind w:left="629" w:firstLine="0"/>
        <w:rPr>
          <w:rFonts w:asciiTheme="majorHAnsi" w:hAnsiTheme="majorHAnsi"/>
        </w:rPr>
      </w:pPr>
    </w:p>
    <w:p w:rsidR="000B1E94" w:rsidRDefault="000B1E94" w:rsidP="000B1E94">
      <w:pPr>
        <w:pStyle w:val="Heading1"/>
        <w:spacing w:before="240" w:line="276" w:lineRule="auto"/>
        <w:ind w:left="629" w:firstLine="0"/>
        <w:rPr>
          <w:rFonts w:asciiTheme="majorHAnsi" w:hAnsiTheme="majorHAnsi"/>
        </w:rPr>
      </w:pPr>
    </w:p>
    <w:p w:rsidR="000B1E94" w:rsidRDefault="000B1E94" w:rsidP="000B1E94">
      <w:pPr>
        <w:pStyle w:val="Heading1"/>
        <w:spacing w:before="240" w:line="276" w:lineRule="auto"/>
        <w:ind w:left="629" w:firstLine="0"/>
        <w:rPr>
          <w:rFonts w:asciiTheme="majorHAnsi" w:hAnsiTheme="majorHAnsi"/>
        </w:rPr>
      </w:pPr>
    </w:p>
    <w:p w:rsidR="000B1E94" w:rsidRDefault="000B1E94" w:rsidP="000B1E94">
      <w:pPr>
        <w:pStyle w:val="Heading1"/>
        <w:spacing w:before="240" w:line="276" w:lineRule="auto"/>
        <w:ind w:left="629" w:firstLine="0"/>
        <w:rPr>
          <w:rFonts w:asciiTheme="majorHAnsi" w:hAnsiTheme="majorHAnsi"/>
        </w:rPr>
      </w:pPr>
    </w:p>
    <w:p w:rsidR="000B1E94" w:rsidRDefault="000B1E94" w:rsidP="000B1E94">
      <w:pPr>
        <w:pStyle w:val="Heading1"/>
        <w:spacing w:before="240" w:line="276" w:lineRule="auto"/>
        <w:ind w:left="629" w:firstLine="0"/>
        <w:rPr>
          <w:rFonts w:asciiTheme="majorHAnsi" w:hAnsiTheme="majorHAnsi"/>
        </w:rPr>
      </w:pPr>
    </w:p>
    <w:p w:rsidR="000B1E94" w:rsidRPr="000B1E94" w:rsidRDefault="000B1E94" w:rsidP="000B1E94">
      <w:pPr>
        <w:pStyle w:val="Heading1"/>
        <w:spacing w:before="240" w:line="276" w:lineRule="auto"/>
        <w:ind w:left="629" w:firstLine="0"/>
        <w:rPr>
          <w:rFonts w:asciiTheme="majorHAnsi" w:hAnsiTheme="majorHAnsi"/>
        </w:rPr>
      </w:pPr>
    </w:p>
    <w:p w:rsidR="000B1E94" w:rsidRPr="000B1E94" w:rsidRDefault="000B1E94" w:rsidP="000B1E94">
      <w:pPr>
        <w:pStyle w:val="ListParagraph"/>
        <w:tabs>
          <w:tab w:val="left" w:pos="381"/>
        </w:tabs>
        <w:spacing w:before="239"/>
        <w:ind w:firstLine="0"/>
        <w:rPr>
          <w:rFonts w:asciiTheme="majorHAnsi" w:hAnsiTheme="majorHAnsi"/>
          <w:b/>
        </w:rPr>
      </w:pPr>
    </w:p>
    <w:p w:rsidR="001B0093" w:rsidRPr="000B1E94" w:rsidRDefault="00000000">
      <w:pPr>
        <w:pStyle w:val="ListParagraph"/>
        <w:numPr>
          <w:ilvl w:val="0"/>
          <w:numId w:val="1"/>
        </w:numPr>
        <w:tabs>
          <w:tab w:val="left" w:pos="381"/>
        </w:tabs>
        <w:spacing w:before="239"/>
        <w:ind w:left="381" w:hanging="358"/>
        <w:rPr>
          <w:rFonts w:asciiTheme="majorHAnsi" w:hAnsiTheme="majorHAnsi"/>
          <w:b/>
        </w:rPr>
      </w:pPr>
      <w:r w:rsidRPr="000B1E94">
        <w:rPr>
          <w:rFonts w:asciiTheme="majorHAnsi" w:hAnsiTheme="majorHAnsi"/>
          <w:b/>
        </w:rPr>
        <w:t>Purpose</w:t>
      </w:r>
      <w:r w:rsidRPr="000B1E94">
        <w:rPr>
          <w:rFonts w:asciiTheme="majorHAnsi" w:hAnsiTheme="majorHAnsi"/>
          <w:b/>
          <w:spacing w:val="-2"/>
        </w:rPr>
        <w:t xml:space="preserve"> </w:t>
      </w:r>
      <w:r w:rsidRPr="000B1E94">
        <w:rPr>
          <w:rFonts w:asciiTheme="majorHAnsi" w:hAnsiTheme="majorHAnsi"/>
          <w:b/>
        </w:rPr>
        <w:t>and</w:t>
      </w:r>
      <w:r w:rsidRPr="000B1E94">
        <w:rPr>
          <w:rFonts w:asciiTheme="majorHAnsi" w:hAnsiTheme="majorHAnsi"/>
          <w:b/>
          <w:spacing w:val="-3"/>
        </w:rPr>
        <w:t xml:space="preserve"> </w:t>
      </w:r>
      <w:r w:rsidRPr="000B1E94">
        <w:rPr>
          <w:rFonts w:asciiTheme="majorHAnsi" w:hAnsiTheme="majorHAnsi"/>
          <w:b/>
        </w:rPr>
        <w:t>Scope</w:t>
      </w:r>
      <w:r w:rsidRPr="000B1E94">
        <w:rPr>
          <w:rFonts w:asciiTheme="majorHAnsi" w:hAnsiTheme="majorHAnsi"/>
          <w:b/>
          <w:spacing w:val="-4"/>
        </w:rPr>
        <w:t xml:space="preserve"> </w:t>
      </w:r>
      <w:r w:rsidRPr="000B1E94">
        <w:rPr>
          <w:rFonts w:asciiTheme="majorHAnsi" w:hAnsiTheme="majorHAnsi"/>
          <w:b/>
        </w:rPr>
        <w:t>of</w:t>
      </w:r>
      <w:r w:rsidRPr="000B1E94">
        <w:rPr>
          <w:rFonts w:asciiTheme="majorHAnsi" w:hAnsiTheme="majorHAnsi"/>
          <w:b/>
          <w:spacing w:val="-6"/>
        </w:rPr>
        <w:t xml:space="preserve"> </w:t>
      </w:r>
      <w:r w:rsidRPr="000B1E94">
        <w:rPr>
          <w:rFonts w:asciiTheme="majorHAnsi" w:hAnsiTheme="majorHAnsi"/>
          <w:b/>
        </w:rPr>
        <w:t>the</w:t>
      </w:r>
      <w:r w:rsidRPr="000B1E94">
        <w:rPr>
          <w:rFonts w:asciiTheme="majorHAnsi" w:hAnsiTheme="majorHAnsi"/>
          <w:b/>
          <w:spacing w:val="-2"/>
        </w:rPr>
        <w:t xml:space="preserve"> Policy</w:t>
      </w:r>
    </w:p>
    <w:p w:rsidR="001B0093" w:rsidRPr="000B1E94" w:rsidRDefault="001B0093">
      <w:pPr>
        <w:pStyle w:val="BodyText"/>
        <w:spacing w:before="22"/>
        <w:rPr>
          <w:rFonts w:asciiTheme="majorHAnsi" w:hAnsiTheme="majorHAnsi"/>
          <w:b/>
        </w:rPr>
      </w:pPr>
    </w:p>
    <w:p w:rsidR="001B0093" w:rsidRPr="000B1E94" w:rsidRDefault="00000000">
      <w:pPr>
        <w:pStyle w:val="BodyText"/>
        <w:spacing w:line="276" w:lineRule="auto"/>
        <w:ind w:left="382" w:right="158"/>
        <w:jc w:val="both"/>
        <w:rPr>
          <w:rFonts w:asciiTheme="majorHAnsi" w:hAnsiTheme="majorHAnsi"/>
        </w:rPr>
      </w:pPr>
      <w:r w:rsidRPr="000B1E94">
        <w:rPr>
          <w:rFonts w:asciiTheme="majorHAnsi" w:hAnsiTheme="majorHAnsi"/>
        </w:rPr>
        <w:t>This policy is formulated for providing a framework for determination of Material Subsidiary Companies of the Company as required under the Securities and Exchange Board of India (Listing Obligations and Disclosure Requirements) Regulations, 2015 (“SEBI LODR Regulations”).</w:t>
      </w:r>
    </w:p>
    <w:p w:rsidR="001B0093" w:rsidRPr="000B1E94" w:rsidRDefault="00000000">
      <w:pPr>
        <w:pStyle w:val="BodyText"/>
        <w:spacing w:before="238" w:line="276" w:lineRule="auto"/>
        <w:ind w:left="383" w:right="161"/>
        <w:jc w:val="both"/>
        <w:rPr>
          <w:rFonts w:asciiTheme="majorHAnsi" w:hAnsiTheme="majorHAnsi"/>
        </w:rPr>
      </w:pPr>
      <w:r w:rsidRPr="000B1E94">
        <w:rPr>
          <w:rFonts w:asciiTheme="majorHAnsi" w:hAnsiTheme="majorHAnsi"/>
        </w:rPr>
        <w:t>The Policy also intends to provide a governance framework for such Material Subsidiary companies, in terms of the applicable provisions of the Companies Act, 2013 and the Securities and Exchange Board of India (Listing Obligations and Disclosure Requirements) Regulations, 2015 (as amended).</w:t>
      </w:r>
    </w:p>
    <w:p w:rsidR="001B0093" w:rsidRPr="000B1E94" w:rsidRDefault="00000000">
      <w:pPr>
        <w:pStyle w:val="Heading1"/>
        <w:numPr>
          <w:ilvl w:val="0"/>
          <w:numId w:val="1"/>
        </w:numPr>
        <w:tabs>
          <w:tab w:val="left" w:pos="381"/>
        </w:tabs>
        <w:spacing w:before="238"/>
        <w:ind w:left="381" w:hanging="358"/>
        <w:rPr>
          <w:rFonts w:asciiTheme="majorHAnsi" w:hAnsiTheme="majorHAnsi"/>
        </w:rPr>
      </w:pPr>
      <w:r w:rsidRPr="000B1E94">
        <w:rPr>
          <w:rFonts w:asciiTheme="majorHAnsi" w:hAnsiTheme="majorHAnsi"/>
        </w:rPr>
        <w:t>Effective</w:t>
      </w:r>
      <w:r w:rsidRPr="000B1E94">
        <w:rPr>
          <w:rFonts w:asciiTheme="majorHAnsi" w:hAnsiTheme="majorHAnsi"/>
          <w:spacing w:val="-7"/>
        </w:rPr>
        <w:t xml:space="preserve"> </w:t>
      </w:r>
      <w:r w:rsidRPr="000B1E94">
        <w:rPr>
          <w:rFonts w:asciiTheme="majorHAnsi" w:hAnsiTheme="majorHAnsi"/>
          <w:spacing w:val="-4"/>
        </w:rPr>
        <w:t>Date</w:t>
      </w:r>
    </w:p>
    <w:p w:rsidR="001B0093" w:rsidRPr="000B1E94" w:rsidRDefault="001B0093">
      <w:pPr>
        <w:pStyle w:val="BodyText"/>
        <w:spacing w:before="51"/>
        <w:rPr>
          <w:rFonts w:asciiTheme="majorHAnsi" w:hAnsiTheme="majorHAnsi"/>
          <w:b/>
        </w:rPr>
      </w:pPr>
    </w:p>
    <w:p w:rsidR="001B0093" w:rsidRPr="000B1E94" w:rsidRDefault="00000000">
      <w:pPr>
        <w:pStyle w:val="BodyText"/>
        <w:ind w:left="383"/>
        <w:jc w:val="both"/>
        <w:rPr>
          <w:rFonts w:asciiTheme="majorHAnsi" w:hAnsiTheme="majorHAnsi"/>
        </w:rPr>
      </w:pPr>
      <w:r w:rsidRPr="000B1E94">
        <w:rPr>
          <w:rFonts w:asciiTheme="majorHAnsi" w:hAnsiTheme="majorHAnsi"/>
        </w:rPr>
        <w:t>This</w:t>
      </w:r>
      <w:r w:rsidRPr="000B1E94">
        <w:rPr>
          <w:rFonts w:asciiTheme="majorHAnsi" w:hAnsiTheme="majorHAnsi"/>
          <w:spacing w:val="-5"/>
        </w:rPr>
        <w:t xml:space="preserve"> </w:t>
      </w:r>
      <w:r w:rsidRPr="000B1E94">
        <w:rPr>
          <w:rFonts w:asciiTheme="majorHAnsi" w:hAnsiTheme="majorHAnsi"/>
        </w:rPr>
        <w:t>Policy</w:t>
      </w:r>
      <w:r w:rsidRPr="000B1E94">
        <w:rPr>
          <w:rFonts w:asciiTheme="majorHAnsi" w:hAnsiTheme="majorHAnsi"/>
          <w:spacing w:val="-3"/>
        </w:rPr>
        <w:t xml:space="preserve"> </w:t>
      </w:r>
      <w:r w:rsidRPr="000B1E94">
        <w:rPr>
          <w:rFonts w:asciiTheme="majorHAnsi" w:hAnsiTheme="majorHAnsi"/>
        </w:rPr>
        <w:t>shall</w:t>
      </w:r>
      <w:r w:rsidRPr="000B1E94">
        <w:rPr>
          <w:rFonts w:asciiTheme="majorHAnsi" w:hAnsiTheme="majorHAnsi"/>
          <w:spacing w:val="-3"/>
        </w:rPr>
        <w:t xml:space="preserve"> </w:t>
      </w:r>
      <w:r w:rsidRPr="000B1E94">
        <w:rPr>
          <w:rFonts w:asciiTheme="majorHAnsi" w:hAnsiTheme="majorHAnsi"/>
        </w:rPr>
        <w:t>be</w:t>
      </w:r>
      <w:r w:rsidRPr="000B1E94">
        <w:rPr>
          <w:rFonts w:asciiTheme="majorHAnsi" w:hAnsiTheme="majorHAnsi"/>
          <w:spacing w:val="-4"/>
        </w:rPr>
        <w:t xml:space="preserve"> </w:t>
      </w:r>
      <w:r w:rsidRPr="000B1E94">
        <w:rPr>
          <w:rFonts w:asciiTheme="majorHAnsi" w:hAnsiTheme="majorHAnsi"/>
        </w:rPr>
        <w:t>effective</w:t>
      </w:r>
      <w:r w:rsidRPr="000B1E94">
        <w:rPr>
          <w:rFonts w:asciiTheme="majorHAnsi" w:hAnsiTheme="majorHAnsi"/>
          <w:spacing w:val="-3"/>
        </w:rPr>
        <w:t xml:space="preserve"> </w:t>
      </w:r>
      <w:r w:rsidRPr="000B1E94">
        <w:rPr>
          <w:rFonts w:asciiTheme="majorHAnsi" w:hAnsiTheme="majorHAnsi"/>
        </w:rPr>
        <w:t>from</w:t>
      </w:r>
      <w:r w:rsidRPr="000B1E94">
        <w:rPr>
          <w:rFonts w:asciiTheme="majorHAnsi" w:hAnsiTheme="majorHAnsi"/>
          <w:spacing w:val="-5"/>
        </w:rPr>
        <w:t xml:space="preserve"> </w:t>
      </w:r>
      <w:r w:rsidRPr="000B1E94">
        <w:rPr>
          <w:rFonts w:asciiTheme="majorHAnsi" w:hAnsiTheme="majorHAnsi"/>
        </w:rPr>
        <w:t>the</w:t>
      </w:r>
      <w:r w:rsidRPr="000B1E94">
        <w:rPr>
          <w:rFonts w:asciiTheme="majorHAnsi" w:hAnsiTheme="majorHAnsi"/>
          <w:spacing w:val="-3"/>
        </w:rPr>
        <w:t xml:space="preserve"> </w:t>
      </w:r>
      <w:r w:rsidRPr="000B1E94">
        <w:rPr>
          <w:rFonts w:asciiTheme="majorHAnsi" w:hAnsiTheme="majorHAnsi"/>
        </w:rPr>
        <w:t>date</w:t>
      </w:r>
      <w:r w:rsidRPr="000B1E94">
        <w:rPr>
          <w:rFonts w:asciiTheme="majorHAnsi" w:hAnsiTheme="majorHAnsi"/>
          <w:spacing w:val="-4"/>
        </w:rPr>
        <w:t xml:space="preserve"> </w:t>
      </w:r>
      <w:r w:rsidRPr="000B1E94">
        <w:rPr>
          <w:rFonts w:asciiTheme="majorHAnsi" w:hAnsiTheme="majorHAnsi"/>
        </w:rPr>
        <w:t>of</w:t>
      </w:r>
      <w:r w:rsidRPr="000B1E94">
        <w:rPr>
          <w:rFonts w:asciiTheme="majorHAnsi" w:hAnsiTheme="majorHAnsi"/>
          <w:spacing w:val="-1"/>
        </w:rPr>
        <w:t xml:space="preserve"> </w:t>
      </w:r>
      <w:r w:rsidRPr="000B1E94">
        <w:rPr>
          <w:rFonts w:asciiTheme="majorHAnsi" w:hAnsiTheme="majorHAnsi"/>
        </w:rPr>
        <w:t>approval</w:t>
      </w:r>
      <w:r w:rsidRPr="000B1E94">
        <w:rPr>
          <w:rFonts w:asciiTheme="majorHAnsi" w:hAnsiTheme="majorHAnsi"/>
          <w:spacing w:val="-4"/>
        </w:rPr>
        <w:t xml:space="preserve"> </w:t>
      </w:r>
      <w:r w:rsidRPr="000B1E94">
        <w:rPr>
          <w:rFonts w:asciiTheme="majorHAnsi" w:hAnsiTheme="majorHAnsi"/>
        </w:rPr>
        <w:t>of</w:t>
      </w:r>
      <w:r w:rsidRPr="000B1E94">
        <w:rPr>
          <w:rFonts w:asciiTheme="majorHAnsi" w:hAnsiTheme="majorHAnsi"/>
          <w:spacing w:val="-4"/>
        </w:rPr>
        <w:t xml:space="preserve"> </w:t>
      </w:r>
      <w:r w:rsidRPr="000B1E94">
        <w:rPr>
          <w:rFonts w:asciiTheme="majorHAnsi" w:hAnsiTheme="majorHAnsi"/>
        </w:rPr>
        <w:t>the</w:t>
      </w:r>
      <w:r w:rsidRPr="000B1E94">
        <w:rPr>
          <w:rFonts w:asciiTheme="majorHAnsi" w:hAnsiTheme="majorHAnsi"/>
          <w:spacing w:val="-5"/>
        </w:rPr>
        <w:t xml:space="preserve"> </w:t>
      </w:r>
      <w:r w:rsidRPr="000B1E94">
        <w:rPr>
          <w:rFonts w:asciiTheme="majorHAnsi" w:hAnsiTheme="majorHAnsi"/>
        </w:rPr>
        <w:t>Board</w:t>
      </w:r>
      <w:r w:rsidRPr="000B1E94">
        <w:rPr>
          <w:rFonts w:asciiTheme="majorHAnsi" w:hAnsiTheme="majorHAnsi"/>
          <w:spacing w:val="-4"/>
        </w:rPr>
        <w:t xml:space="preserve"> </w:t>
      </w:r>
      <w:r w:rsidRPr="000B1E94">
        <w:rPr>
          <w:rFonts w:asciiTheme="majorHAnsi" w:hAnsiTheme="majorHAnsi"/>
        </w:rPr>
        <w:t>of</w:t>
      </w:r>
      <w:r w:rsidRPr="000B1E94">
        <w:rPr>
          <w:rFonts w:asciiTheme="majorHAnsi" w:hAnsiTheme="majorHAnsi"/>
          <w:spacing w:val="-3"/>
        </w:rPr>
        <w:t xml:space="preserve"> </w:t>
      </w:r>
      <w:r w:rsidRPr="000B1E94">
        <w:rPr>
          <w:rFonts w:asciiTheme="majorHAnsi" w:hAnsiTheme="majorHAnsi"/>
          <w:spacing w:val="-2"/>
        </w:rPr>
        <w:t>Directors.</w:t>
      </w:r>
    </w:p>
    <w:p w:rsidR="001B0093" w:rsidRPr="000B1E94" w:rsidRDefault="001B0093">
      <w:pPr>
        <w:pStyle w:val="BodyText"/>
        <w:spacing w:before="75"/>
        <w:rPr>
          <w:rFonts w:asciiTheme="majorHAnsi" w:hAnsiTheme="majorHAnsi"/>
        </w:rPr>
      </w:pPr>
    </w:p>
    <w:p w:rsidR="001B0093" w:rsidRPr="000B1E94" w:rsidRDefault="00000000">
      <w:pPr>
        <w:pStyle w:val="Heading1"/>
        <w:numPr>
          <w:ilvl w:val="0"/>
          <w:numId w:val="1"/>
        </w:numPr>
        <w:tabs>
          <w:tab w:val="left" w:pos="380"/>
        </w:tabs>
        <w:ind w:left="380" w:hanging="358"/>
        <w:rPr>
          <w:rFonts w:asciiTheme="majorHAnsi" w:hAnsiTheme="majorHAnsi"/>
        </w:rPr>
      </w:pPr>
      <w:r w:rsidRPr="000B1E94">
        <w:rPr>
          <w:rFonts w:asciiTheme="majorHAnsi" w:hAnsiTheme="majorHAnsi"/>
          <w:spacing w:val="-2"/>
        </w:rPr>
        <w:t>Definitions</w:t>
      </w:r>
    </w:p>
    <w:p w:rsidR="001B0093" w:rsidRPr="000B1E94" w:rsidRDefault="001B0093">
      <w:pPr>
        <w:pStyle w:val="BodyText"/>
        <w:spacing w:before="80"/>
        <w:rPr>
          <w:rFonts w:asciiTheme="majorHAnsi" w:hAnsiTheme="majorHAnsi"/>
          <w:b/>
          <w:sz w:val="20"/>
        </w:rPr>
      </w:pPr>
    </w:p>
    <w:tbl>
      <w:tblPr>
        <w:tblW w:w="0" w:type="auto"/>
        <w:tblInd w:w="340" w:type="dxa"/>
        <w:tblLayout w:type="fixed"/>
        <w:tblCellMar>
          <w:left w:w="0" w:type="dxa"/>
          <w:right w:w="0" w:type="dxa"/>
        </w:tblCellMar>
        <w:tblLook w:val="01E0" w:firstRow="1" w:lastRow="1" w:firstColumn="1" w:lastColumn="1" w:noHBand="0" w:noVBand="0"/>
      </w:tblPr>
      <w:tblGrid>
        <w:gridCol w:w="1893"/>
        <w:gridCol w:w="6882"/>
      </w:tblGrid>
      <w:tr w:rsidR="001B0093" w:rsidRPr="000B1E94">
        <w:trPr>
          <w:trHeight w:val="387"/>
        </w:trPr>
        <w:tc>
          <w:tcPr>
            <w:tcW w:w="1893" w:type="dxa"/>
          </w:tcPr>
          <w:p w:rsidR="001B0093" w:rsidRPr="000B1E94" w:rsidRDefault="00000000">
            <w:pPr>
              <w:pStyle w:val="TableParagraph"/>
              <w:spacing w:before="0" w:line="247" w:lineRule="exact"/>
              <w:rPr>
                <w:rFonts w:asciiTheme="majorHAnsi" w:hAnsiTheme="majorHAnsi"/>
              </w:rPr>
            </w:pPr>
            <w:r w:rsidRPr="000B1E94">
              <w:rPr>
                <w:rFonts w:asciiTheme="majorHAnsi" w:hAnsiTheme="majorHAnsi"/>
                <w:spacing w:val="-2"/>
              </w:rPr>
              <w:t>“Board”</w:t>
            </w:r>
          </w:p>
        </w:tc>
        <w:tc>
          <w:tcPr>
            <w:tcW w:w="6882" w:type="dxa"/>
          </w:tcPr>
          <w:p w:rsidR="001B0093" w:rsidRPr="000B1E94" w:rsidRDefault="00000000">
            <w:pPr>
              <w:pStyle w:val="TableParagraph"/>
              <w:spacing w:before="0" w:line="247" w:lineRule="exact"/>
              <w:ind w:left="312"/>
              <w:rPr>
                <w:rFonts w:asciiTheme="majorHAnsi" w:hAnsiTheme="majorHAnsi"/>
              </w:rPr>
            </w:pPr>
            <w:r w:rsidRPr="000B1E94">
              <w:rPr>
                <w:rFonts w:asciiTheme="majorHAnsi" w:hAnsiTheme="majorHAnsi"/>
              </w:rPr>
              <w:t>implies</w:t>
            </w:r>
            <w:r w:rsidRPr="000B1E94">
              <w:rPr>
                <w:rFonts w:asciiTheme="majorHAnsi" w:hAnsiTheme="majorHAnsi"/>
                <w:spacing w:val="-6"/>
              </w:rPr>
              <w:t xml:space="preserve"> </w:t>
            </w:r>
            <w:r w:rsidRPr="000B1E94">
              <w:rPr>
                <w:rFonts w:asciiTheme="majorHAnsi" w:hAnsiTheme="majorHAnsi"/>
              </w:rPr>
              <w:t>the</w:t>
            </w:r>
            <w:r w:rsidRPr="000B1E94">
              <w:rPr>
                <w:rFonts w:asciiTheme="majorHAnsi" w:hAnsiTheme="majorHAnsi"/>
                <w:spacing w:val="-5"/>
              </w:rPr>
              <w:t xml:space="preserve"> </w:t>
            </w:r>
            <w:r w:rsidRPr="000B1E94">
              <w:rPr>
                <w:rFonts w:asciiTheme="majorHAnsi" w:hAnsiTheme="majorHAnsi"/>
              </w:rPr>
              <w:t>Board</w:t>
            </w:r>
            <w:r w:rsidRPr="000B1E94">
              <w:rPr>
                <w:rFonts w:asciiTheme="majorHAnsi" w:hAnsiTheme="majorHAnsi"/>
                <w:spacing w:val="-5"/>
              </w:rPr>
              <w:t xml:space="preserve"> </w:t>
            </w:r>
            <w:r w:rsidRPr="000B1E94">
              <w:rPr>
                <w:rFonts w:asciiTheme="majorHAnsi" w:hAnsiTheme="majorHAnsi"/>
              </w:rPr>
              <w:t>of</w:t>
            </w:r>
            <w:r w:rsidRPr="000B1E94">
              <w:rPr>
                <w:rFonts w:asciiTheme="majorHAnsi" w:hAnsiTheme="majorHAnsi"/>
                <w:spacing w:val="-3"/>
              </w:rPr>
              <w:t xml:space="preserve"> </w:t>
            </w:r>
            <w:r w:rsidRPr="000B1E94">
              <w:rPr>
                <w:rFonts w:asciiTheme="majorHAnsi" w:hAnsiTheme="majorHAnsi"/>
              </w:rPr>
              <w:t>Directors</w:t>
            </w:r>
            <w:r w:rsidRPr="000B1E94">
              <w:rPr>
                <w:rFonts w:asciiTheme="majorHAnsi" w:hAnsiTheme="majorHAnsi"/>
                <w:spacing w:val="-6"/>
              </w:rPr>
              <w:t xml:space="preserve"> </w:t>
            </w:r>
            <w:r w:rsidRPr="000B1E94">
              <w:rPr>
                <w:rFonts w:asciiTheme="majorHAnsi" w:hAnsiTheme="majorHAnsi"/>
              </w:rPr>
              <w:t>of</w:t>
            </w:r>
            <w:r w:rsidRPr="000B1E94">
              <w:rPr>
                <w:rFonts w:asciiTheme="majorHAnsi" w:hAnsiTheme="majorHAnsi"/>
                <w:spacing w:val="-5"/>
              </w:rPr>
              <w:t xml:space="preserve"> </w:t>
            </w:r>
            <w:r w:rsidR="000B1E94" w:rsidRPr="000B1E94">
              <w:rPr>
                <w:rFonts w:asciiTheme="majorHAnsi" w:hAnsiTheme="majorHAnsi"/>
                <w:spacing w:val="-5"/>
              </w:rPr>
              <w:t>Abate AS Industries</w:t>
            </w:r>
            <w:r w:rsidRPr="000B1E94">
              <w:rPr>
                <w:rFonts w:asciiTheme="majorHAnsi" w:hAnsiTheme="majorHAnsi"/>
                <w:spacing w:val="-4"/>
              </w:rPr>
              <w:t xml:space="preserve"> </w:t>
            </w:r>
            <w:r w:rsidRPr="000B1E94">
              <w:rPr>
                <w:rFonts w:asciiTheme="majorHAnsi" w:hAnsiTheme="majorHAnsi"/>
                <w:spacing w:val="-2"/>
              </w:rPr>
              <w:t>Limited.</w:t>
            </w:r>
          </w:p>
        </w:tc>
      </w:tr>
      <w:tr w:rsidR="001B0093" w:rsidRPr="000B1E94">
        <w:trPr>
          <w:trHeight w:val="527"/>
        </w:trPr>
        <w:tc>
          <w:tcPr>
            <w:tcW w:w="1893" w:type="dxa"/>
          </w:tcPr>
          <w:p w:rsidR="001B0093" w:rsidRPr="000B1E94" w:rsidRDefault="00000000">
            <w:pPr>
              <w:pStyle w:val="TableParagraph"/>
              <w:rPr>
                <w:rFonts w:asciiTheme="majorHAnsi" w:hAnsiTheme="majorHAnsi"/>
              </w:rPr>
            </w:pPr>
            <w:r w:rsidRPr="000B1E94">
              <w:rPr>
                <w:rFonts w:asciiTheme="majorHAnsi" w:hAnsiTheme="majorHAnsi"/>
                <w:spacing w:val="-2"/>
              </w:rPr>
              <w:t>“Company”</w:t>
            </w:r>
          </w:p>
        </w:tc>
        <w:tc>
          <w:tcPr>
            <w:tcW w:w="6882" w:type="dxa"/>
          </w:tcPr>
          <w:p w:rsidR="001B0093" w:rsidRPr="000B1E94" w:rsidRDefault="00000000">
            <w:pPr>
              <w:pStyle w:val="TableParagraph"/>
              <w:ind w:left="312"/>
              <w:rPr>
                <w:rFonts w:asciiTheme="majorHAnsi" w:hAnsiTheme="majorHAnsi"/>
              </w:rPr>
            </w:pPr>
            <w:r w:rsidRPr="000B1E94">
              <w:rPr>
                <w:rFonts w:asciiTheme="majorHAnsi" w:hAnsiTheme="majorHAnsi"/>
              </w:rPr>
              <w:t>implies</w:t>
            </w:r>
            <w:r w:rsidRPr="000B1E94">
              <w:rPr>
                <w:rFonts w:asciiTheme="majorHAnsi" w:hAnsiTheme="majorHAnsi"/>
                <w:spacing w:val="-6"/>
              </w:rPr>
              <w:t xml:space="preserve"> </w:t>
            </w:r>
            <w:r w:rsidR="000B1E94" w:rsidRPr="000B1E94">
              <w:rPr>
                <w:rFonts w:asciiTheme="majorHAnsi" w:hAnsiTheme="majorHAnsi"/>
              </w:rPr>
              <w:t xml:space="preserve">Abate AS Industries </w:t>
            </w:r>
            <w:r w:rsidRPr="000B1E94">
              <w:rPr>
                <w:rFonts w:asciiTheme="majorHAnsi" w:hAnsiTheme="majorHAnsi"/>
                <w:spacing w:val="-2"/>
              </w:rPr>
              <w:t>Limited.</w:t>
            </w:r>
          </w:p>
        </w:tc>
      </w:tr>
      <w:tr w:rsidR="001B0093" w:rsidRPr="000B1E94">
        <w:trPr>
          <w:trHeight w:val="1983"/>
        </w:trPr>
        <w:tc>
          <w:tcPr>
            <w:tcW w:w="1893" w:type="dxa"/>
          </w:tcPr>
          <w:p w:rsidR="001B0093" w:rsidRPr="000B1E94" w:rsidRDefault="00000000">
            <w:pPr>
              <w:pStyle w:val="TableParagraph"/>
              <w:rPr>
                <w:rFonts w:asciiTheme="majorHAnsi" w:hAnsiTheme="majorHAnsi"/>
              </w:rPr>
            </w:pPr>
            <w:r w:rsidRPr="000B1E94">
              <w:rPr>
                <w:rFonts w:asciiTheme="majorHAnsi" w:hAnsiTheme="majorHAnsi"/>
                <w:spacing w:val="-2"/>
              </w:rPr>
              <w:t>“Control”</w:t>
            </w:r>
          </w:p>
        </w:tc>
        <w:tc>
          <w:tcPr>
            <w:tcW w:w="6882" w:type="dxa"/>
          </w:tcPr>
          <w:p w:rsidR="001B0093" w:rsidRPr="000B1E94" w:rsidRDefault="00000000">
            <w:pPr>
              <w:pStyle w:val="TableParagraph"/>
              <w:spacing w:line="276" w:lineRule="auto"/>
              <w:ind w:left="312" w:right="49"/>
              <w:jc w:val="both"/>
              <w:rPr>
                <w:rFonts w:asciiTheme="majorHAnsi" w:hAnsiTheme="majorHAnsi"/>
              </w:rPr>
            </w:pPr>
            <w:r w:rsidRPr="000B1E94">
              <w:rPr>
                <w:rFonts w:asciiTheme="majorHAnsi" w:hAnsiTheme="majorHAnsi"/>
              </w:rPr>
              <w:t>shall include the right to appoint majority of the directors or to control the management or policy decisions exercisable by a person or persons acting individually or in concert, directly or indirectly, including by virtue of their shareholding or management rights or shareholder agreements or voting agreements or in any other manner.</w:t>
            </w:r>
          </w:p>
        </w:tc>
      </w:tr>
      <w:tr w:rsidR="001B0093" w:rsidRPr="000B1E94">
        <w:trPr>
          <w:trHeight w:val="529"/>
        </w:trPr>
        <w:tc>
          <w:tcPr>
            <w:tcW w:w="1893" w:type="dxa"/>
          </w:tcPr>
          <w:p w:rsidR="001B0093" w:rsidRPr="000B1E94" w:rsidRDefault="00000000">
            <w:pPr>
              <w:pStyle w:val="TableParagraph"/>
              <w:spacing w:before="135"/>
              <w:rPr>
                <w:rFonts w:asciiTheme="majorHAnsi" w:hAnsiTheme="majorHAnsi"/>
              </w:rPr>
            </w:pPr>
            <w:r w:rsidRPr="000B1E94">
              <w:rPr>
                <w:rFonts w:asciiTheme="majorHAnsi" w:hAnsiTheme="majorHAnsi"/>
                <w:spacing w:val="-2"/>
              </w:rPr>
              <w:t>“Directors”</w:t>
            </w:r>
          </w:p>
        </w:tc>
        <w:tc>
          <w:tcPr>
            <w:tcW w:w="6882" w:type="dxa"/>
          </w:tcPr>
          <w:p w:rsidR="001B0093" w:rsidRPr="000B1E94" w:rsidRDefault="00000000">
            <w:pPr>
              <w:pStyle w:val="TableParagraph"/>
              <w:spacing w:before="135"/>
              <w:ind w:left="312"/>
              <w:rPr>
                <w:rFonts w:asciiTheme="majorHAnsi" w:hAnsiTheme="majorHAnsi"/>
              </w:rPr>
            </w:pPr>
            <w:r w:rsidRPr="000B1E94">
              <w:rPr>
                <w:rFonts w:asciiTheme="majorHAnsi" w:hAnsiTheme="majorHAnsi"/>
              </w:rPr>
              <w:t>implies</w:t>
            </w:r>
            <w:r w:rsidRPr="000B1E94">
              <w:rPr>
                <w:rFonts w:asciiTheme="majorHAnsi" w:hAnsiTheme="majorHAnsi"/>
                <w:spacing w:val="-3"/>
              </w:rPr>
              <w:t xml:space="preserve"> </w:t>
            </w:r>
            <w:r w:rsidRPr="000B1E94">
              <w:rPr>
                <w:rFonts w:asciiTheme="majorHAnsi" w:hAnsiTheme="majorHAnsi"/>
              </w:rPr>
              <w:t>all</w:t>
            </w:r>
            <w:r w:rsidRPr="000B1E94">
              <w:rPr>
                <w:rFonts w:asciiTheme="majorHAnsi" w:hAnsiTheme="majorHAnsi"/>
                <w:spacing w:val="-3"/>
              </w:rPr>
              <w:t xml:space="preserve"> </w:t>
            </w:r>
            <w:r w:rsidRPr="000B1E94">
              <w:rPr>
                <w:rFonts w:asciiTheme="majorHAnsi" w:hAnsiTheme="majorHAnsi"/>
              </w:rPr>
              <w:t>the</w:t>
            </w:r>
            <w:r w:rsidRPr="000B1E94">
              <w:rPr>
                <w:rFonts w:asciiTheme="majorHAnsi" w:hAnsiTheme="majorHAnsi"/>
                <w:spacing w:val="-4"/>
              </w:rPr>
              <w:t xml:space="preserve"> </w:t>
            </w:r>
            <w:r w:rsidRPr="000B1E94">
              <w:rPr>
                <w:rFonts w:asciiTheme="majorHAnsi" w:hAnsiTheme="majorHAnsi"/>
              </w:rPr>
              <w:t>Directors</w:t>
            </w:r>
            <w:r w:rsidRPr="000B1E94">
              <w:rPr>
                <w:rFonts w:asciiTheme="majorHAnsi" w:hAnsiTheme="majorHAnsi"/>
                <w:spacing w:val="-7"/>
              </w:rPr>
              <w:t xml:space="preserve"> </w:t>
            </w:r>
            <w:r w:rsidRPr="000B1E94">
              <w:rPr>
                <w:rFonts w:asciiTheme="majorHAnsi" w:hAnsiTheme="majorHAnsi"/>
              </w:rPr>
              <w:t>on</w:t>
            </w:r>
            <w:r w:rsidRPr="000B1E94">
              <w:rPr>
                <w:rFonts w:asciiTheme="majorHAnsi" w:hAnsiTheme="majorHAnsi"/>
                <w:spacing w:val="-3"/>
              </w:rPr>
              <w:t xml:space="preserve"> </w:t>
            </w:r>
            <w:r w:rsidRPr="000B1E94">
              <w:rPr>
                <w:rFonts w:asciiTheme="majorHAnsi" w:hAnsiTheme="majorHAnsi"/>
              </w:rPr>
              <w:t>the</w:t>
            </w:r>
            <w:r w:rsidRPr="000B1E94">
              <w:rPr>
                <w:rFonts w:asciiTheme="majorHAnsi" w:hAnsiTheme="majorHAnsi"/>
                <w:spacing w:val="-5"/>
              </w:rPr>
              <w:t xml:space="preserve"> </w:t>
            </w:r>
            <w:r w:rsidRPr="000B1E94">
              <w:rPr>
                <w:rFonts w:asciiTheme="majorHAnsi" w:hAnsiTheme="majorHAnsi"/>
                <w:spacing w:val="-2"/>
              </w:rPr>
              <w:t>Board.</w:t>
            </w:r>
          </w:p>
        </w:tc>
      </w:tr>
      <w:tr w:rsidR="001B0093" w:rsidRPr="000B1E94">
        <w:trPr>
          <w:trHeight w:val="529"/>
        </w:trPr>
        <w:tc>
          <w:tcPr>
            <w:tcW w:w="1893" w:type="dxa"/>
          </w:tcPr>
          <w:p w:rsidR="001B0093" w:rsidRPr="000B1E94" w:rsidRDefault="00000000">
            <w:pPr>
              <w:pStyle w:val="TableParagraph"/>
              <w:rPr>
                <w:rFonts w:asciiTheme="majorHAnsi" w:hAnsiTheme="majorHAnsi"/>
              </w:rPr>
            </w:pPr>
            <w:r w:rsidRPr="000B1E94">
              <w:rPr>
                <w:rFonts w:asciiTheme="majorHAnsi" w:hAnsiTheme="majorHAnsi"/>
                <w:spacing w:val="-4"/>
              </w:rPr>
              <w:t>“ED”</w:t>
            </w:r>
          </w:p>
        </w:tc>
        <w:tc>
          <w:tcPr>
            <w:tcW w:w="6882" w:type="dxa"/>
          </w:tcPr>
          <w:p w:rsidR="001B0093" w:rsidRPr="000B1E94" w:rsidRDefault="00000000">
            <w:pPr>
              <w:pStyle w:val="TableParagraph"/>
              <w:ind w:left="312"/>
              <w:rPr>
                <w:rFonts w:asciiTheme="majorHAnsi" w:hAnsiTheme="majorHAnsi"/>
              </w:rPr>
            </w:pPr>
            <w:r w:rsidRPr="000B1E94">
              <w:rPr>
                <w:rFonts w:asciiTheme="majorHAnsi" w:hAnsiTheme="majorHAnsi"/>
              </w:rPr>
              <w:t>implies</w:t>
            </w:r>
            <w:r w:rsidRPr="000B1E94">
              <w:rPr>
                <w:rFonts w:asciiTheme="majorHAnsi" w:hAnsiTheme="majorHAnsi"/>
                <w:spacing w:val="-5"/>
              </w:rPr>
              <w:t xml:space="preserve"> </w:t>
            </w:r>
            <w:r w:rsidRPr="000B1E94">
              <w:rPr>
                <w:rFonts w:asciiTheme="majorHAnsi" w:hAnsiTheme="majorHAnsi"/>
              </w:rPr>
              <w:t>Executive</w:t>
            </w:r>
            <w:r w:rsidRPr="000B1E94">
              <w:rPr>
                <w:rFonts w:asciiTheme="majorHAnsi" w:hAnsiTheme="majorHAnsi"/>
                <w:spacing w:val="-5"/>
              </w:rPr>
              <w:t xml:space="preserve"> </w:t>
            </w:r>
            <w:r w:rsidRPr="000B1E94">
              <w:rPr>
                <w:rFonts w:asciiTheme="majorHAnsi" w:hAnsiTheme="majorHAnsi"/>
              </w:rPr>
              <w:t>Director</w:t>
            </w:r>
            <w:r w:rsidRPr="000B1E94">
              <w:rPr>
                <w:rFonts w:asciiTheme="majorHAnsi" w:hAnsiTheme="majorHAnsi"/>
                <w:spacing w:val="-3"/>
              </w:rPr>
              <w:t xml:space="preserve"> </w:t>
            </w:r>
            <w:r w:rsidRPr="000B1E94">
              <w:rPr>
                <w:rFonts w:asciiTheme="majorHAnsi" w:hAnsiTheme="majorHAnsi"/>
              </w:rPr>
              <w:t>of</w:t>
            </w:r>
            <w:r w:rsidRPr="000B1E94">
              <w:rPr>
                <w:rFonts w:asciiTheme="majorHAnsi" w:hAnsiTheme="majorHAnsi"/>
                <w:spacing w:val="-6"/>
              </w:rPr>
              <w:t xml:space="preserve"> </w:t>
            </w:r>
            <w:r w:rsidRPr="000B1E94">
              <w:rPr>
                <w:rFonts w:asciiTheme="majorHAnsi" w:hAnsiTheme="majorHAnsi"/>
              </w:rPr>
              <w:t>the</w:t>
            </w:r>
            <w:r w:rsidRPr="000B1E94">
              <w:rPr>
                <w:rFonts w:asciiTheme="majorHAnsi" w:hAnsiTheme="majorHAnsi"/>
                <w:spacing w:val="-5"/>
              </w:rPr>
              <w:t xml:space="preserve"> </w:t>
            </w:r>
            <w:r w:rsidRPr="000B1E94">
              <w:rPr>
                <w:rFonts w:asciiTheme="majorHAnsi" w:hAnsiTheme="majorHAnsi"/>
                <w:spacing w:val="-2"/>
              </w:rPr>
              <w:t>Company.</w:t>
            </w:r>
          </w:p>
        </w:tc>
      </w:tr>
      <w:tr w:rsidR="001B0093" w:rsidRPr="000B1E94">
        <w:trPr>
          <w:trHeight w:val="1693"/>
        </w:trPr>
        <w:tc>
          <w:tcPr>
            <w:tcW w:w="1893" w:type="dxa"/>
          </w:tcPr>
          <w:p w:rsidR="001B0093" w:rsidRPr="000B1E94" w:rsidRDefault="00000000">
            <w:pPr>
              <w:pStyle w:val="TableParagraph"/>
              <w:spacing w:before="135" w:line="276" w:lineRule="auto"/>
              <w:rPr>
                <w:rFonts w:asciiTheme="majorHAnsi" w:hAnsiTheme="majorHAnsi"/>
              </w:rPr>
            </w:pPr>
            <w:r w:rsidRPr="000B1E94">
              <w:rPr>
                <w:rFonts w:asciiTheme="majorHAnsi" w:hAnsiTheme="majorHAnsi"/>
                <w:spacing w:val="-2"/>
              </w:rPr>
              <w:t xml:space="preserve">“Independent </w:t>
            </w:r>
            <w:r w:rsidRPr="000B1E94">
              <w:rPr>
                <w:rFonts w:asciiTheme="majorHAnsi" w:hAnsiTheme="majorHAnsi"/>
              </w:rPr>
              <w:t>Director”</w:t>
            </w:r>
            <w:r w:rsidRPr="000B1E94">
              <w:rPr>
                <w:rFonts w:asciiTheme="majorHAnsi" w:hAnsiTheme="majorHAnsi"/>
                <w:spacing w:val="-16"/>
              </w:rPr>
              <w:t xml:space="preserve"> </w:t>
            </w:r>
            <w:r w:rsidRPr="000B1E94">
              <w:rPr>
                <w:rFonts w:asciiTheme="majorHAnsi" w:hAnsiTheme="majorHAnsi"/>
              </w:rPr>
              <w:t>or</w:t>
            </w:r>
            <w:r w:rsidRPr="000B1E94">
              <w:rPr>
                <w:rFonts w:asciiTheme="majorHAnsi" w:hAnsiTheme="majorHAnsi"/>
                <w:spacing w:val="-15"/>
              </w:rPr>
              <w:t xml:space="preserve"> </w:t>
            </w:r>
            <w:r w:rsidRPr="000B1E94">
              <w:rPr>
                <w:rFonts w:asciiTheme="majorHAnsi" w:hAnsiTheme="majorHAnsi"/>
              </w:rPr>
              <w:t>“ID”</w:t>
            </w:r>
          </w:p>
        </w:tc>
        <w:tc>
          <w:tcPr>
            <w:tcW w:w="6882" w:type="dxa"/>
          </w:tcPr>
          <w:p w:rsidR="001B0093" w:rsidRPr="000B1E94" w:rsidRDefault="00000000">
            <w:pPr>
              <w:pStyle w:val="TableParagraph"/>
              <w:spacing w:before="135" w:line="276" w:lineRule="auto"/>
              <w:ind w:left="312" w:right="51"/>
              <w:jc w:val="both"/>
              <w:rPr>
                <w:rFonts w:asciiTheme="majorHAnsi" w:hAnsiTheme="majorHAnsi"/>
              </w:rPr>
            </w:pPr>
            <w:r w:rsidRPr="000B1E94">
              <w:rPr>
                <w:rFonts w:asciiTheme="majorHAnsi" w:hAnsiTheme="majorHAnsi"/>
              </w:rPr>
              <w:t>implies a Non-Executive Director of the Company, other than a Nominee</w:t>
            </w:r>
            <w:r w:rsidRPr="000B1E94">
              <w:rPr>
                <w:rFonts w:asciiTheme="majorHAnsi" w:hAnsiTheme="majorHAnsi"/>
                <w:spacing w:val="-2"/>
              </w:rPr>
              <w:t xml:space="preserve"> </w:t>
            </w:r>
            <w:r w:rsidRPr="000B1E94">
              <w:rPr>
                <w:rFonts w:asciiTheme="majorHAnsi" w:hAnsiTheme="majorHAnsi"/>
              </w:rPr>
              <w:t>Director</w:t>
            </w:r>
            <w:r w:rsidRPr="000B1E94">
              <w:rPr>
                <w:rFonts w:asciiTheme="majorHAnsi" w:hAnsiTheme="majorHAnsi"/>
                <w:spacing w:val="-4"/>
              </w:rPr>
              <w:t xml:space="preserve"> </w:t>
            </w:r>
            <w:r w:rsidRPr="000B1E94">
              <w:rPr>
                <w:rFonts w:asciiTheme="majorHAnsi" w:hAnsiTheme="majorHAnsi"/>
              </w:rPr>
              <w:t>and</w:t>
            </w:r>
            <w:r w:rsidRPr="000B1E94">
              <w:rPr>
                <w:rFonts w:asciiTheme="majorHAnsi" w:hAnsiTheme="majorHAnsi"/>
                <w:spacing w:val="-3"/>
              </w:rPr>
              <w:t xml:space="preserve"> </w:t>
            </w:r>
            <w:r w:rsidRPr="000B1E94">
              <w:rPr>
                <w:rFonts w:asciiTheme="majorHAnsi" w:hAnsiTheme="majorHAnsi"/>
              </w:rPr>
              <w:t>who</w:t>
            </w:r>
            <w:r w:rsidRPr="000B1E94">
              <w:rPr>
                <w:rFonts w:asciiTheme="majorHAnsi" w:hAnsiTheme="majorHAnsi"/>
                <w:spacing w:val="-3"/>
              </w:rPr>
              <w:t xml:space="preserve"> </w:t>
            </w:r>
            <w:r w:rsidRPr="000B1E94">
              <w:rPr>
                <w:rFonts w:asciiTheme="majorHAnsi" w:hAnsiTheme="majorHAnsi"/>
              </w:rPr>
              <w:t>is</w:t>
            </w:r>
            <w:r w:rsidRPr="000B1E94">
              <w:rPr>
                <w:rFonts w:asciiTheme="majorHAnsi" w:hAnsiTheme="majorHAnsi"/>
                <w:spacing w:val="-2"/>
              </w:rPr>
              <w:t xml:space="preserve"> </w:t>
            </w:r>
            <w:r w:rsidRPr="000B1E94">
              <w:rPr>
                <w:rFonts w:asciiTheme="majorHAnsi" w:hAnsiTheme="majorHAnsi"/>
              </w:rPr>
              <w:t>neither</w:t>
            </w:r>
            <w:r w:rsidRPr="000B1E94">
              <w:rPr>
                <w:rFonts w:asciiTheme="majorHAnsi" w:hAnsiTheme="majorHAnsi"/>
                <w:spacing w:val="-1"/>
              </w:rPr>
              <w:t xml:space="preserve"> </w:t>
            </w:r>
            <w:r w:rsidRPr="000B1E94">
              <w:rPr>
                <w:rFonts w:asciiTheme="majorHAnsi" w:hAnsiTheme="majorHAnsi"/>
              </w:rPr>
              <w:t>a</w:t>
            </w:r>
            <w:r w:rsidRPr="000B1E94">
              <w:rPr>
                <w:rFonts w:asciiTheme="majorHAnsi" w:hAnsiTheme="majorHAnsi"/>
                <w:spacing w:val="-5"/>
              </w:rPr>
              <w:t xml:space="preserve"> </w:t>
            </w:r>
            <w:r w:rsidRPr="000B1E94">
              <w:rPr>
                <w:rFonts w:asciiTheme="majorHAnsi" w:hAnsiTheme="majorHAnsi"/>
              </w:rPr>
              <w:t>promoter</w:t>
            </w:r>
            <w:r w:rsidRPr="000B1E94">
              <w:rPr>
                <w:rFonts w:asciiTheme="majorHAnsi" w:hAnsiTheme="majorHAnsi"/>
                <w:spacing w:val="-4"/>
              </w:rPr>
              <w:t xml:space="preserve"> </w:t>
            </w:r>
            <w:r w:rsidRPr="000B1E94">
              <w:rPr>
                <w:rFonts w:asciiTheme="majorHAnsi" w:hAnsiTheme="majorHAnsi"/>
              </w:rPr>
              <w:t>nor</w:t>
            </w:r>
            <w:r w:rsidRPr="000B1E94">
              <w:rPr>
                <w:rFonts w:asciiTheme="majorHAnsi" w:hAnsiTheme="majorHAnsi"/>
                <w:spacing w:val="-1"/>
              </w:rPr>
              <w:t xml:space="preserve"> </w:t>
            </w:r>
            <w:r w:rsidRPr="000B1E94">
              <w:rPr>
                <w:rFonts w:asciiTheme="majorHAnsi" w:hAnsiTheme="majorHAnsi"/>
              </w:rPr>
              <w:t>belongs</w:t>
            </w:r>
            <w:r w:rsidRPr="000B1E94">
              <w:rPr>
                <w:rFonts w:asciiTheme="majorHAnsi" w:hAnsiTheme="majorHAnsi"/>
                <w:spacing w:val="-2"/>
              </w:rPr>
              <w:t xml:space="preserve"> </w:t>
            </w:r>
            <w:r w:rsidRPr="000B1E94">
              <w:rPr>
                <w:rFonts w:asciiTheme="majorHAnsi" w:hAnsiTheme="majorHAnsi"/>
              </w:rPr>
              <w:t>to</w:t>
            </w:r>
            <w:r w:rsidRPr="000B1E94">
              <w:rPr>
                <w:rFonts w:asciiTheme="majorHAnsi" w:hAnsiTheme="majorHAnsi"/>
                <w:spacing w:val="-5"/>
              </w:rPr>
              <w:t xml:space="preserve"> </w:t>
            </w:r>
            <w:r w:rsidRPr="000B1E94">
              <w:rPr>
                <w:rFonts w:asciiTheme="majorHAnsi" w:hAnsiTheme="majorHAnsi"/>
              </w:rPr>
              <w:t xml:space="preserve">the promoter group of the company, and who satisfies other </w:t>
            </w:r>
            <w:proofErr w:type="spellStart"/>
            <w:r w:rsidRPr="000B1E94">
              <w:rPr>
                <w:rFonts w:asciiTheme="majorHAnsi" w:hAnsiTheme="majorHAnsi"/>
              </w:rPr>
              <w:t>criterias</w:t>
            </w:r>
            <w:proofErr w:type="spellEnd"/>
            <w:r w:rsidRPr="000B1E94">
              <w:rPr>
                <w:rFonts w:asciiTheme="majorHAnsi" w:hAnsiTheme="majorHAnsi"/>
              </w:rPr>
              <w:t xml:space="preserve"> for independence mentioned in the Companies Act, 2013 and the SEBI LODR Regulations.</w:t>
            </w:r>
          </w:p>
        </w:tc>
      </w:tr>
      <w:tr w:rsidR="001B0093" w:rsidRPr="000B1E94">
        <w:trPr>
          <w:trHeight w:val="968"/>
        </w:trPr>
        <w:tc>
          <w:tcPr>
            <w:tcW w:w="1893" w:type="dxa"/>
          </w:tcPr>
          <w:p w:rsidR="001B0093" w:rsidRPr="000B1E94" w:rsidRDefault="00000000">
            <w:pPr>
              <w:pStyle w:val="TableParagraph"/>
              <w:rPr>
                <w:rFonts w:asciiTheme="majorHAnsi" w:hAnsiTheme="majorHAnsi"/>
              </w:rPr>
            </w:pPr>
            <w:r w:rsidRPr="000B1E94">
              <w:rPr>
                <w:rFonts w:asciiTheme="majorHAnsi" w:hAnsiTheme="majorHAnsi"/>
              </w:rPr>
              <w:t>“SEBI</w:t>
            </w:r>
            <w:r w:rsidRPr="000B1E94">
              <w:rPr>
                <w:rFonts w:asciiTheme="majorHAnsi" w:hAnsiTheme="majorHAnsi"/>
                <w:spacing w:val="-3"/>
              </w:rPr>
              <w:t xml:space="preserve"> </w:t>
            </w:r>
            <w:r w:rsidRPr="000B1E94">
              <w:rPr>
                <w:rFonts w:asciiTheme="majorHAnsi" w:hAnsiTheme="majorHAnsi"/>
                <w:spacing w:val="-4"/>
              </w:rPr>
              <w:t>LODR</w:t>
            </w:r>
          </w:p>
          <w:p w:rsidR="001B0093" w:rsidRPr="000B1E94" w:rsidRDefault="00000000">
            <w:pPr>
              <w:pStyle w:val="TableParagraph"/>
              <w:spacing w:before="37"/>
              <w:rPr>
                <w:rFonts w:asciiTheme="majorHAnsi" w:hAnsiTheme="majorHAnsi"/>
              </w:rPr>
            </w:pPr>
            <w:r w:rsidRPr="000B1E94">
              <w:rPr>
                <w:rFonts w:asciiTheme="majorHAnsi" w:hAnsiTheme="majorHAnsi"/>
                <w:spacing w:val="-2"/>
              </w:rPr>
              <w:t>Regulations”</w:t>
            </w:r>
          </w:p>
        </w:tc>
        <w:tc>
          <w:tcPr>
            <w:tcW w:w="6882" w:type="dxa"/>
          </w:tcPr>
          <w:p w:rsidR="001B0093" w:rsidRPr="000B1E94" w:rsidRDefault="00000000">
            <w:pPr>
              <w:pStyle w:val="TableParagraph"/>
              <w:spacing w:before="78" w:line="290" w:lineRule="atLeast"/>
              <w:ind w:left="312" w:right="54"/>
              <w:jc w:val="both"/>
              <w:rPr>
                <w:rFonts w:asciiTheme="majorHAnsi" w:hAnsiTheme="majorHAnsi"/>
              </w:rPr>
            </w:pPr>
            <w:r w:rsidRPr="000B1E94">
              <w:rPr>
                <w:rFonts w:asciiTheme="majorHAnsi" w:hAnsiTheme="majorHAnsi"/>
              </w:rPr>
              <w:t xml:space="preserve">implies the Securities and Exchange Board of India (Listing Obligations and Disclosure Requirements) Regulations, 2015 (as </w:t>
            </w:r>
            <w:r w:rsidRPr="000B1E94">
              <w:rPr>
                <w:rFonts w:asciiTheme="majorHAnsi" w:hAnsiTheme="majorHAnsi"/>
                <w:spacing w:val="-2"/>
              </w:rPr>
              <w:t>amended).</w:t>
            </w:r>
          </w:p>
        </w:tc>
      </w:tr>
    </w:tbl>
    <w:p w:rsidR="001B0093" w:rsidRPr="000B1E94" w:rsidRDefault="001B0093">
      <w:pPr>
        <w:pStyle w:val="TableParagraph"/>
        <w:spacing w:line="290" w:lineRule="atLeast"/>
        <w:jc w:val="both"/>
        <w:rPr>
          <w:rFonts w:asciiTheme="majorHAnsi" w:hAnsiTheme="majorHAnsi"/>
        </w:rPr>
        <w:sectPr w:rsidR="001B0093" w:rsidRPr="000B1E94">
          <w:headerReference w:type="default" r:id="rId7"/>
          <w:footerReference w:type="default" r:id="rId8"/>
          <w:type w:val="continuous"/>
          <w:pgSz w:w="11910" w:h="16840"/>
          <w:pgMar w:top="2000" w:right="1275" w:bottom="1660" w:left="1417" w:header="504" w:footer="1465" w:gutter="0"/>
          <w:pgNumType w:start="1"/>
          <w:cols w:space="720"/>
        </w:sectPr>
      </w:pPr>
    </w:p>
    <w:tbl>
      <w:tblPr>
        <w:tblW w:w="0" w:type="auto"/>
        <w:tblInd w:w="340" w:type="dxa"/>
        <w:tblLayout w:type="fixed"/>
        <w:tblCellMar>
          <w:left w:w="0" w:type="dxa"/>
          <w:right w:w="0" w:type="dxa"/>
        </w:tblCellMar>
        <w:tblLook w:val="01E0" w:firstRow="1" w:lastRow="1" w:firstColumn="1" w:lastColumn="1" w:noHBand="0" w:noVBand="0"/>
      </w:tblPr>
      <w:tblGrid>
        <w:gridCol w:w="2137"/>
        <w:gridCol w:w="6633"/>
      </w:tblGrid>
      <w:tr w:rsidR="001B0093" w:rsidRPr="000B1E94">
        <w:trPr>
          <w:trHeight w:val="1538"/>
        </w:trPr>
        <w:tc>
          <w:tcPr>
            <w:tcW w:w="2137" w:type="dxa"/>
          </w:tcPr>
          <w:p w:rsidR="001B0093" w:rsidRPr="000B1E94" w:rsidRDefault="00000000">
            <w:pPr>
              <w:pStyle w:val="TableParagraph"/>
              <w:spacing w:before="0" w:line="247" w:lineRule="exact"/>
              <w:rPr>
                <w:rFonts w:asciiTheme="majorHAnsi" w:hAnsiTheme="majorHAnsi"/>
              </w:rPr>
            </w:pPr>
            <w:r w:rsidRPr="000B1E94">
              <w:rPr>
                <w:rFonts w:asciiTheme="majorHAnsi" w:hAnsiTheme="majorHAnsi"/>
              </w:rPr>
              <w:lastRenderedPageBreak/>
              <w:t>“Material</w:t>
            </w:r>
            <w:r w:rsidRPr="000B1E94">
              <w:rPr>
                <w:rFonts w:asciiTheme="majorHAnsi" w:hAnsiTheme="majorHAnsi"/>
                <w:spacing w:val="-6"/>
              </w:rPr>
              <w:t xml:space="preserve"> </w:t>
            </w:r>
            <w:r w:rsidRPr="000B1E94">
              <w:rPr>
                <w:rFonts w:asciiTheme="majorHAnsi" w:hAnsiTheme="majorHAnsi"/>
                <w:spacing w:val="-2"/>
              </w:rPr>
              <w:t>Subsidiary”</w:t>
            </w:r>
          </w:p>
        </w:tc>
        <w:tc>
          <w:tcPr>
            <w:tcW w:w="6633" w:type="dxa"/>
          </w:tcPr>
          <w:p w:rsidR="001B0093" w:rsidRPr="000B1E94" w:rsidRDefault="00000000">
            <w:pPr>
              <w:pStyle w:val="TableParagraph"/>
              <w:spacing w:before="0" w:line="276" w:lineRule="auto"/>
              <w:ind w:left="68" w:right="47"/>
              <w:jc w:val="both"/>
              <w:rPr>
                <w:rFonts w:asciiTheme="majorHAnsi" w:hAnsiTheme="majorHAnsi"/>
              </w:rPr>
            </w:pPr>
            <w:r w:rsidRPr="000B1E94">
              <w:rPr>
                <w:rFonts w:asciiTheme="majorHAnsi" w:hAnsiTheme="majorHAnsi"/>
              </w:rPr>
              <w:t>implies a subsidiary whose income or net worth exceeds 10% (unless specified otherwise, for any specific purpose, in terms of the provisions of applicable laws) of the consolidated income or</w:t>
            </w:r>
            <w:r w:rsidRPr="000B1E94">
              <w:rPr>
                <w:rFonts w:asciiTheme="majorHAnsi" w:hAnsiTheme="majorHAnsi"/>
                <w:spacing w:val="40"/>
              </w:rPr>
              <w:t xml:space="preserve"> </w:t>
            </w:r>
            <w:r w:rsidRPr="000B1E94">
              <w:rPr>
                <w:rFonts w:asciiTheme="majorHAnsi" w:hAnsiTheme="majorHAnsi"/>
              </w:rPr>
              <w:t>net worth respectively, of the Company and its subsidiaries in the immediately preceding accounting year.</w:t>
            </w:r>
          </w:p>
        </w:tc>
      </w:tr>
      <w:tr w:rsidR="001B0093" w:rsidRPr="000B1E94">
        <w:trPr>
          <w:trHeight w:val="806"/>
        </w:trPr>
        <w:tc>
          <w:tcPr>
            <w:tcW w:w="2137" w:type="dxa"/>
          </w:tcPr>
          <w:p w:rsidR="001B0093" w:rsidRPr="000B1E94" w:rsidRDefault="00000000">
            <w:pPr>
              <w:pStyle w:val="TableParagraph"/>
              <w:spacing w:before="121"/>
              <w:rPr>
                <w:rFonts w:asciiTheme="majorHAnsi" w:hAnsiTheme="majorHAnsi"/>
              </w:rPr>
            </w:pPr>
            <w:r w:rsidRPr="000B1E94">
              <w:rPr>
                <w:rFonts w:asciiTheme="majorHAnsi" w:hAnsiTheme="majorHAnsi"/>
                <w:spacing w:val="-2"/>
              </w:rPr>
              <w:t>“Policy”</w:t>
            </w:r>
          </w:p>
        </w:tc>
        <w:tc>
          <w:tcPr>
            <w:tcW w:w="6633" w:type="dxa"/>
          </w:tcPr>
          <w:p w:rsidR="001B0093" w:rsidRPr="000B1E94" w:rsidRDefault="00000000">
            <w:pPr>
              <w:pStyle w:val="TableParagraph"/>
              <w:spacing w:before="121" w:line="276" w:lineRule="auto"/>
              <w:ind w:left="68"/>
              <w:rPr>
                <w:rFonts w:asciiTheme="majorHAnsi" w:hAnsiTheme="majorHAnsi"/>
              </w:rPr>
            </w:pPr>
            <w:r w:rsidRPr="000B1E94">
              <w:rPr>
                <w:rFonts w:asciiTheme="majorHAnsi" w:hAnsiTheme="majorHAnsi"/>
              </w:rPr>
              <w:t>implies</w:t>
            </w:r>
            <w:r w:rsidRPr="000B1E94">
              <w:rPr>
                <w:rFonts w:asciiTheme="majorHAnsi" w:hAnsiTheme="majorHAnsi"/>
                <w:spacing w:val="-3"/>
              </w:rPr>
              <w:t xml:space="preserve"> </w:t>
            </w:r>
            <w:r w:rsidRPr="000B1E94">
              <w:rPr>
                <w:rFonts w:asciiTheme="majorHAnsi" w:hAnsiTheme="majorHAnsi"/>
              </w:rPr>
              <w:t>this</w:t>
            </w:r>
            <w:r w:rsidRPr="000B1E94">
              <w:rPr>
                <w:rFonts w:asciiTheme="majorHAnsi" w:hAnsiTheme="majorHAnsi"/>
                <w:spacing w:val="-3"/>
              </w:rPr>
              <w:t xml:space="preserve"> </w:t>
            </w:r>
            <w:r w:rsidRPr="000B1E94">
              <w:rPr>
                <w:rFonts w:asciiTheme="majorHAnsi" w:hAnsiTheme="majorHAnsi"/>
              </w:rPr>
              <w:t>Policy</w:t>
            </w:r>
            <w:r w:rsidRPr="000B1E94">
              <w:rPr>
                <w:rFonts w:asciiTheme="majorHAnsi" w:hAnsiTheme="majorHAnsi"/>
                <w:spacing w:val="-3"/>
              </w:rPr>
              <w:t xml:space="preserve"> </w:t>
            </w:r>
            <w:r w:rsidRPr="000B1E94">
              <w:rPr>
                <w:rFonts w:asciiTheme="majorHAnsi" w:hAnsiTheme="majorHAnsi"/>
              </w:rPr>
              <w:t>on</w:t>
            </w:r>
            <w:r w:rsidRPr="000B1E94">
              <w:rPr>
                <w:rFonts w:asciiTheme="majorHAnsi" w:hAnsiTheme="majorHAnsi"/>
                <w:spacing w:val="-6"/>
              </w:rPr>
              <w:t xml:space="preserve"> </w:t>
            </w:r>
            <w:r w:rsidRPr="000B1E94">
              <w:rPr>
                <w:rFonts w:asciiTheme="majorHAnsi" w:hAnsiTheme="majorHAnsi"/>
              </w:rPr>
              <w:t>determination</w:t>
            </w:r>
            <w:r w:rsidRPr="000B1E94">
              <w:rPr>
                <w:rFonts w:asciiTheme="majorHAnsi" w:hAnsiTheme="majorHAnsi"/>
                <w:spacing w:val="-6"/>
              </w:rPr>
              <w:t xml:space="preserve"> </w:t>
            </w:r>
            <w:r w:rsidRPr="000B1E94">
              <w:rPr>
                <w:rFonts w:asciiTheme="majorHAnsi" w:hAnsiTheme="majorHAnsi"/>
              </w:rPr>
              <w:t>of</w:t>
            </w:r>
            <w:r w:rsidRPr="000B1E94">
              <w:rPr>
                <w:rFonts w:asciiTheme="majorHAnsi" w:hAnsiTheme="majorHAnsi"/>
                <w:spacing w:val="-4"/>
              </w:rPr>
              <w:t xml:space="preserve"> </w:t>
            </w:r>
            <w:r w:rsidRPr="000B1E94">
              <w:rPr>
                <w:rFonts w:asciiTheme="majorHAnsi" w:hAnsiTheme="majorHAnsi"/>
              </w:rPr>
              <w:t>Material</w:t>
            </w:r>
            <w:r w:rsidRPr="000B1E94">
              <w:rPr>
                <w:rFonts w:asciiTheme="majorHAnsi" w:hAnsiTheme="majorHAnsi"/>
                <w:spacing w:val="-4"/>
              </w:rPr>
              <w:t xml:space="preserve"> </w:t>
            </w:r>
            <w:r w:rsidRPr="000B1E94">
              <w:rPr>
                <w:rFonts w:asciiTheme="majorHAnsi" w:hAnsiTheme="majorHAnsi"/>
              </w:rPr>
              <w:t>Subsidiaries</w:t>
            </w:r>
            <w:r w:rsidRPr="000B1E94">
              <w:rPr>
                <w:rFonts w:asciiTheme="majorHAnsi" w:hAnsiTheme="majorHAnsi"/>
                <w:spacing w:val="-3"/>
              </w:rPr>
              <w:t xml:space="preserve"> </w:t>
            </w:r>
            <w:r w:rsidRPr="000B1E94">
              <w:rPr>
                <w:rFonts w:asciiTheme="majorHAnsi" w:hAnsiTheme="majorHAnsi"/>
              </w:rPr>
              <w:t>of</w:t>
            </w:r>
            <w:r w:rsidRPr="000B1E94">
              <w:rPr>
                <w:rFonts w:asciiTheme="majorHAnsi" w:hAnsiTheme="majorHAnsi"/>
                <w:spacing w:val="-5"/>
              </w:rPr>
              <w:t xml:space="preserve"> </w:t>
            </w:r>
            <w:r w:rsidRPr="000B1E94">
              <w:rPr>
                <w:rFonts w:asciiTheme="majorHAnsi" w:hAnsiTheme="majorHAnsi"/>
              </w:rPr>
              <w:t xml:space="preserve">the </w:t>
            </w:r>
            <w:r w:rsidRPr="000B1E94">
              <w:rPr>
                <w:rFonts w:asciiTheme="majorHAnsi" w:hAnsiTheme="majorHAnsi"/>
                <w:spacing w:val="-2"/>
              </w:rPr>
              <w:t>Company.</w:t>
            </w:r>
          </w:p>
        </w:tc>
      </w:tr>
      <w:tr w:rsidR="001B0093" w:rsidRPr="000B1E94">
        <w:trPr>
          <w:trHeight w:val="1402"/>
        </w:trPr>
        <w:tc>
          <w:tcPr>
            <w:tcW w:w="2137" w:type="dxa"/>
          </w:tcPr>
          <w:p w:rsidR="001B0093" w:rsidRPr="000B1E94" w:rsidRDefault="00000000">
            <w:pPr>
              <w:pStyle w:val="TableParagraph"/>
              <w:spacing w:before="135" w:line="276" w:lineRule="auto"/>
              <w:ind w:right="676"/>
              <w:rPr>
                <w:rFonts w:asciiTheme="majorHAnsi" w:hAnsiTheme="majorHAnsi"/>
              </w:rPr>
            </w:pPr>
            <w:r w:rsidRPr="000B1E94">
              <w:rPr>
                <w:rFonts w:asciiTheme="majorHAnsi" w:hAnsiTheme="majorHAnsi"/>
                <w:spacing w:val="-2"/>
              </w:rPr>
              <w:t xml:space="preserve">“Significant </w:t>
            </w:r>
            <w:r w:rsidRPr="000B1E94">
              <w:rPr>
                <w:rFonts w:asciiTheme="majorHAnsi" w:hAnsiTheme="majorHAnsi"/>
              </w:rPr>
              <w:t>Transaction</w:t>
            </w:r>
            <w:r w:rsidRPr="000B1E94">
              <w:rPr>
                <w:rFonts w:asciiTheme="majorHAnsi" w:hAnsiTheme="majorHAnsi"/>
                <w:spacing w:val="-16"/>
              </w:rPr>
              <w:t xml:space="preserve"> </w:t>
            </w:r>
            <w:r w:rsidRPr="000B1E94">
              <w:rPr>
                <w:rFonts w:asciiTheme="majorHAnsi" w:hAnsiTheme="majorHAnsi"/>
              </w:rPr>
              <w:t xml:space="preserve">or </w:t>
            </w:r>
            <w:r w:rsidRPr="000B1E94">
              <w:rPr>
                <w:rFonts w:asciiTheme="majorHAnsi" w:hAnsiTheme="majorHAnsi"/>
                <w:spacing w:val="-2"/>
              </w:rPr>
              <w:t>Arrangement”</w:t>
            </w:r>
          </w:p>
        </w:tc>
        <w:tc>
          <w:tcPr>
            <w:tcW w:w="6633" w:type="dxa"/>
          </w:tcPr>
          <w:p w:rsidR="001B0093" w:rsidRPr="000B1E94" w:rsidRDefault="00000000">
            <w:pPr>
              <w:pStyle w:val="TableParagraph"/>
              <w:spacing w:before="135" w:line="276" w:lineRule="auto"/>
              <w:ind w:left="68" w:right="47"/>
              <w:jc w:val="both"/>
              <w:rPr>
                <w:rFonts w:asciiTheme="majorHAnsi" w:hAnsiTheme="majorHAnsi"/>
              </w:rPr>
            </w:pPr>
            <w:r w:rsidRPr="000B1E94">
              <w:rPr>
                <w:rFonts w:asciiTheme="majorHAnsi" w:hAnsiTheme="majorHAnsi"/>
              </w:rPr>
              <w:t>implies any individual transaction or arrangement that exceeds or is likely to exceed 10% of the total revenues or total expenses or total assets or total liabilities, as the case may be, of the unlisted subsidiary for the immediately preceding accounting year.</w:t>
            </w:r>
          </w:p>
        </w:tc>
      </w:tr>
      <w:tr w:rsidR="001B0093" w:rsidRPr="000B1E94">
        <w:trPr>
          <w:trHeight w:val="677"/>
        </w:trPr>
        <w:tc>
          <w:tcPr>
            <w:tcW w:w="2137" w:type="dxa"/>
          </w:tcPr>
          <w:p w:rsidR="001B0093" w:rsidRPr="000B1E94" w:rsidRDefault="00000000">
            <w:pPr>
              <w:pStyle w:val="TableParagraph"/>
              <w:rPr>
                <w:rFonts w:asciiTheme="majorHAnsi" w:hAnsiTheme="majorHAnsi"/>
              </w:rPr>
            </w:pPr>
            <w:r w:rsidRPr="000B1E94">
              <w:rPr>
                <w:rFonts w:asciiTheme="majorHAnsi" w:hAnsiTheme="majorHAnsi"/>
                <w:spacing w:val="-2"/>
              </w:rPr>
              <w:t>“Subsidiary”</w:t>
            </w:r>
          </w:p>
        </w:tc>
        <w:tc>
          <w:tcPr>
            <w:tcW w:w="6633" w:type="dxa"/>
          </w:tcPr>
          <w:p w:rsidR="001B0093" w:rsidRPr="000B1E94" w:rsidRDefault="00000000">
            <w:pPr>
              <w:pStyle w:val="TableParagraph"/>
              <w:spacing w:before="77" w:line="290" w:lineRule="atLeast"/>
              <w:ind w:left="68"/>
              <w:rPr>
                <w:rFonts w:asciiTheme="majorHAnsi" w:hAnsiTheme="majorHAnsi"/>
              </w:rPr>
            </w:pPr>
            <w:r w:rsidRPr="000B1E94">
              <w:rPr>
                <w:rFonts w:asciiTheme="majorHAnsi" w:hAnsiTheme="majorHAnsi"/>
              </w:rPr>
              <w:t>shall</w:t>
            </w:r>
            <w:r w:rsidRPr="000B1E94">
              <w:rPr>
                <w:rFonts w:asciiTheme="majorHAnsi" w:hAnsiTheme="majorHAnsi"/>
                <w:spacing w:val="-3"/>
              </w:rPr>
              <w:t xml:space="preserve"> </w:t>
            </w:r>
            <w:r w:rsidRPr="000B1E94">
              <w:rPr>
                <w:rFonts w:asciiTheme="majorHAnsi" w:hAnsiTheme="majorHAnsi"/>
              </w:rPr>
              <w:t>mean</w:t>
            </w:r>
            <w:r w:rsidRPr="000B1E94">
              <w:rPr>
                <w:rFonts w:asciiTheme="majorHAnsi" w:hAnsiTheme="majorHAnsi"/>
                <w:spacing w:val="-3"/>
              </w:rPr>
              <w:t xml:space="preserve"> </w:t>
            </w:r>
            <w:r w:rsidRPr="000B1E94">
              <w:rPr>
                <w:rFonts w:asciiTheme="majorHAnsi" w:hAnsiTheme="majorHAnsi"/>
              </w:rPr>
              <w:t>as</w:t>
            </w:r>
            <w:r w:rsidRPr="000B1E94">
              <w:rPr>
                <w:rFonts w:asciiTheme="majorHAnsi" w:hAnsiTheme="majorHAnsi"/>
                <w:spacing w:val="-5"/>
              </w:rPr>
              <w:t xml:space="preserve"> </w:t>
            </w:r>
            <w:r w:rsidRPr="000B1E94">
              <w:rPr>
                <w:rFonts w:asciiTheme="majorHAnsi" w:hAnsiTheme="majorHAnsi"/>
              </w:rPr>
              <w:t>defined</w:t>
            </w:r>
            <w:r w:rsidRPr="000B1E94">
              <w:rPr>
                <w:rFonts w:asciiTheme="majorHAnsi" w:hAnsiTheme="majorHAnsi"/>
                <w:spacing w:val="-5"/>
              </w:rPr>
              <w:t xml:space="preserve"> </w:t>
            </w:r>
            <w:r w:rsidRPr="000B1E94">
              <w:rPr>
                <w:rFonts w:asciiTheme="majorHAnsi" w:hAnsiTheme="majorHAnsi"/>
              </w:rPr>
              <w:t>under</w:t>
            </w:r>
            <w:r w:rsidRPr="000B1E94">
              <w:rPr>
                <w:rFonts w:asciiTheme="majorHAnsi" w:hAnsiTheme="majorHAnsi"/>
                <w:spacing w:val="-4"/>
              </w:rPr>
              <w:t xml:space="preserve"> </w:t>
            </w:r>
            <w:r w:rsidRPr="000B1E94">
              <w:rPr>
                <w:rFonts w:asciiTheme="majorHAnsi" w:hAnsiTheme="majorHAnsi"/>
              </w:rPr>
              <w:t>the</w:t>
            </w:r>
            <w:r w:rsidRPr="000B1E94">
              <w:rPr>
                <w:rFonts w:asciiTheme="majorHAnsi" w:hAnsiTheme="majorHAnsi"/>
                <w:spacing w:val="-3"/>
              </w:rPr>
              <w:t xml:space="preserve"> </w:t>
            </w:r>
            <w:r w:rsidRPr="000B1E94">
              <w:rPr>
                <w:rFonts w:asciiTheme="majorHAnsi" w:hAnsiTheme="majorHAnsi"/>
              </w:rPr>
              <w:t>Companies</w:t>
            </w:r>
            <w:r w:rsidRPr="000B1E94">
              <w:rPr>
                <w:rFonts w:asciiTheme="majorHAnsi" w:hAnsiTheme="majorHAnsi"/>
                <w:spacing w:val="-2"/>
              </w:rPr>
              <w:t xml:space="preserve"> </w:t>
            </w:r>
            <w:r w:rsidRPr="000B1E94">
              <w:rPr>
                <w:rFonts w:asciiTheme="majorHAnsi" w:hAnsiTheme="majorHAnsi"/>
              </w:rPr>
              <w:t>Act,</w:t>
            </w:r>
            <w:r w:rsidRPr="000B1E94">
              <w:rPr>
                <w:rFonts w:asciiTheme="majorHAnsi" w:hAnsiTheme="majorHAnsi"/>
                <w:spacing w:val="-6"/>
              </w:rPr>
              <w:t xml:space="preserve"> </w:t>
            </w:r>
            <w:r w:rsidRPr="000B1E94">
              <w:rPr>
                <w:rFonts w:asciiTheme="majorHAnsi" w:hAnsiTheme="majorHAnsi"/>
              </w:rPr>
              <w:t>2013</w:t>
            </w:r>
            <w:r w:rsidRPr="000B1E94">
              <w:rPr>
                <w:rFonts w:asciiTheme="majorHAnsi" w:hAnsiTheme="majorHAnsi"/>
                <w:spacing w:val="-3"/>
              </w:rPr>
              <w:t xml:space="preserve"> </w:t>
            </w:r>
            <w:r w:rsidRPr="000B1E94">
              <w:rPr>
                <w:rFonts w:asciiTheme="majorHAnsi" w:hAnsiTheme="majorHAnsi"/>
              </w:rPr>
              <w:t>Act</w:t>
            </w:r>
            <w:r w:rsidRPr="000B1E94">
              <w:rPr>
                <w:rFonts w:asciiTheme="majorHAnsi" w:hAnsiTheme="majorHAnsi"/>
                <w:spacing w:val="-3"/>
              </w:rPr>
              <w:t xml:space="preserve"> </w:t>
            </w:r>
            <w:r w:rsidRPr="000B1E94">
              <w:rPr>
                <w:rFonts w:asciiTheme="majorHAnsi" w:hAnsiTheme="majorHAnsi"/>
              </w:rPr>
              <w:t>and</w:t>
            </w:r>
            <w:r w:rsidRPr="000B1E94">
              <w:rPr>
                <w:rFonts w:asciiTheme="majorHAnsi" w:hAnsiTheme="majorHAnsi"/>
                <w:spacing w:val="-5"/>
              </w:rPr>
              <w:t xml:space="preserve"> </w:t>
            </w:r>
            <w:r w:rsidRPr="000B1E94">
              <w:rPr>
                <w:rFonts w:asciiTheme="majorHAnsi" w:hAnsiTheme="majorHAnsi"/>
              </w:rPr>
              <w:t>the Rules made thereunder.</w:t>
            </w:r>
          </w:p>
        </w:tc>
      </w:tr>
    </w:tbl>
    <w:p w:rsidR="001B0093" w:rsidRPr="000B1E94" w:rsidRDefault="001B0093">
      <w:pPr>
        <w:pStyle w:val="BodyText"/>
        <w:spacing w:before="35"/>
        <w:rPr>
          <w:rFonts w:asciiTheme="majorHAnsi" w:hAnsiTheme="majorHAnsi"/>
          <w:b/>
        </w:rPr>
      </w:pPr>
    </w:p>
    <w:p w:rsidR="001B0093" w:rsidRPr="000B1E94" w:rsidRDefault="00000000">
      <w:pPr>
        <w:pStyle w:val="BodyText"/>
        <w:spacing w:before="1" w:line="276" w:lineRule="auto"/>
        <w:ind w:left="382" w:right="160"/>
        <w:jc w:val="both"/>
        <w:rPr>
          <w:rFonts w:asciiTheme="majorHAnsi" w:hAnsiTheme="majorHAnsi"/>
        </w:rPr>
      </w:pPr>
      <w:r w:rsidRPr="000B1E94">
        <w:rPr>
          <w:rFonts w:asciiTheme="majorHAnsi" w:hAnsiTheme="majorHAnsi"/>
        </w:rPr>
        <w:t>Any other term not defined herein shall have the same meaning as defined in the Companies Act, 2013, the SEBI LODR Regulations, Securities Contract (Regulation)</w:t>
      </w:r>
      <w:r w:rsidRPr="000B1E94">
        <w:rPr>
          <w:rFonts w:asciiTheme="majorHAnsi" w:hAnsiTheme="majorHAnsi"/>
          <w:spacing w:val="80"/>
        </w:rPr>
        <w:t xml:space="preserve"> </w:t>
      </w:r>
      <w:r w:rsidRPr="000B1E94">
        <w:rPr>
          <w:rFonts w:asciiTheme="majorHAnsi" w:hAnsiTheme="majorHAnsi"/>
        </w:rPr>
        <w:t>Act, 1956 or any other applicable law or regulation, as amended from time to time.</w:t>
      </w:r>
    </w:p>
    <w:p w:rsidR="001B0093" w:rsidRPr="000B1E94" w:rsidRDefault="00000000">
      <w:pPr>
        <w:pStyle w:val="Heading1"/>
        <w:numPr>
          <w:ilvl w:val="0"/>
          <w:numId w:val="1"/>
        </w:numPr>
        <w:tabs>
          <w:tab w:val="left" w:pos="381"/>
        </w:tabs>
        <w:spacing w:before="236"/>
        <w:ind w:left="381" w:hanging="358"/>
        <w:rPr>
          <w:rFonts w:asciiTheme="majorHAnsi" w:hAnsiTheme="majorHAnsi"/>
        </w:rPr>
      </w:pPr>
      <w:r w:rsidRPr="000B1E94">
        <w:rPr>
          <w:rFonts w:asciiTheme="majorHAnsi" w:hAnsiTheme="majorHAnsi"/>
        </w:rPr>
        <w:t>Independent</w:t>
      </w:r>
      <w:r w:rsidRPr="000B1E94">
        <w:rPr>
          <w:rFonts w:asciiTheme="majorHAnsi" w:hAnsiTheme="majorHAnsi"/>
          <w:spacing w:val="-8"/>
        </w:rPr>
        <w:t xml:space="preserve"> </w:t>
      </w:r>
      <w:r w:rsidRPr="000B1E94">
        <w:rPr>
          <w:rFonts w:asciiTheme="majorHAnsi" w:hAnsiTheme="majorHAnsi"/>
        </w:rPr>
        <w:t>Director</w:t>
      </w:r>
      <w:r w:rsidRPr="000B1E94">
        <w:rPr>
          <w:rFonts w:asciiTheme="majorHAnsi" w:hAnsiTheme="majorHAnsi"/>
          <w:spacing w:val="-5"/>
        </w:rPr>
        <w:t xml:space="preserve"> </w:t>
      </w:r>
      <w:r w:rsidRPr="000B1E94">
        <w:rPr>
          <w:rFonts w:asciiTheme="majorHAnsi" w:hAnsiTheme="majorHAnsi"/>
        </w:rPr>
        <w:t>on</w:t>
      </w:r>
      <w:r w:rsidRPr="000B1E94">
        <w:rPr>
          <w:rFonts w:asciiTheme="majorHAnsi" w:hAnsiTheme="majorHAnsi"/>
          <w:spacing w:val="-4"/>
        </w:rPr>
        <w:t xml:space="preserve"> </w:t>
      </w:r>
      <w:r w:rsidRPr="000B1E94">
        <w:rPr>
          <w:rFonts w:asciiTheme="majorHAnsi" w:hAnsiTheme="majorHAnsi"/>
        </w:rPr>
        <w:t>the</w:t>
      </w:r>
      <w:r w:rsidRPr="000B1E94">
        <w:rPr>
          <w:rFonts w:asciiTheme="majorHAnsi" w:hAnsiTheme="majorHAnsi"/>
          <w:spacing w:val="-6"/>
        </w:rPr>
        <w:t xml:space="preserve"> </w:t>
      </w:r>
      <w:r w:rsidRPr="000B1E94">
        <w:rPr>
          <w:rFonts w:asciiTheme="majorHAnsi" w:hAnsiTheme="majorHAnsi"/>
        </w:rPr>
        <w:t>Board</w:t>
      </w:r>
      <w:r w:rsidRPr="000B1E94">
        <w:rPr>
          <w:rFonts w:asciiTheme="majorHAnsi" w:hAnsiTheme="majorHAnsi"/>
          <w:spacing w:val="-5"/>
        </w:rPr>
        <w:t xml:space="preserve"> </w:t>
      </w:r>
      <w:r w:rsidRPr="000B1E94">
        <w:rPr>
          <w:rFonts w:asciiTheme="majorHAnsi" w:hAnsiTheme="majorHAnsi"/>
        </w:rPr>
        <w:t>of</w:t>
      </w:r>
      <w:r w:rsidRPr="000B1E94">
        <w:rPr>
          <w:rFonts w:asciiTheme="majorHAnsi" w:hAnsiTheme="majorHAnsi"/>
          <w:spacing w:val="-5"/>
        </w:rPr>
        <w:t xml:space="preserve"> </w:t>
      </w:r>
      <w:r w:rsidRPr="000B1E94">
        <w:rPr>
          <w:rFonts w:asciiTheme="majorHAnsi" w:hAnsiTheme="majorHAnsi"/>
        </w:rPr>
        <w:t>Material</w:t>
      </w:r>
      <w:r w:rsidRPr="000B1E94">
        <w:rPr>
          <w:rFonts w:asciiTheme="majorHAnsi" w:hAnsiTheme="majorHAnsi"/>
          <w:spacing w:val="-5"/>
        </w:rPr>
        <w:t xml:space="preserve"> </w:t>
      </w:r>
      <w:r w:rsidRPr="000B1E94">
        <w:rPr>
          <w:rFonts w:asciiTheme="majorHAnsi" w:hAnsiTheme="majorHAnsi"/>
        </w:rPr>
        <w:t>Unlisted</w:t>
      </w:r>
      <w:r w:rsidRPr="000B1E94">
        <w:rPr>
          <w:rFonts w:asciiTheme="majorHAnsi" w:hAnsiTheme="majorHAnsi"/>
          <w:spacing w:val="-6"/>
        </w:rPr>
        <w:t xml:space="preserve"> </w:t>
      </w:r>
      <w:r w:rsidRPr="000B1E94">
        <w:rPr>
          <w:rFonts w:asciiTheme="majorHAnsi" w:hAnsiTheme="majorHAnsi"/>
          <w:spacing w:val="-2"/>
        </w:rPr>
        <w:t>Subsidiary</w:t>
      </w:r>
    </w:p>
    <w:p w:rsidR="001B0093" w:rsidRPr="000B1E94" w:rsidRDefault="001B0093">
      <w:pPr>
        <w:pStyle w:val="BodyText"/>
        <w:spacing w:before="24"/>
        <w:rPr>
          <w:rFonts w:asciiTheme="majorHAnsi" w:hAnsiTheme="majorHAnsi"/>
          <w:b/>
        </w:rPr>
      </w:pPr>
    </w:p>
    <w:p w:rsidR="001B0093" w:rsidRPr="000B1E94" w:rsidRDefault="00000000">
      <w:pPr>
        <w:pStyle w:val="BodyText"/>
        <w:spacing w:line="276" w:lineRule="auto"/>
        <w:ind w:left="383" w:right="162"/>
        <w:jc w:val="both"/>
        <w:rPr>
          <w:rFonts w:asciiTheme="majorHAnsi" w:hAnsiTheme="majorHAnsi"/>
        </w:rPr>
      </w:pPr>
      <w:r w:rsidRPr="000B1E94">
        <w:rPr>
          <w:rFonts w:asciiTheme="majorHAnsi" w:hAnsiTheme="majorHAnsi"/>
        </w:rPr>
        <w:t>At least one Independent Director on the Board of the Company shall be a director on</w:t>
      </w:r>
      <w:r w:rsidRPr="000B1E94">
        <w:rPr>
          <w:rFonts w:asciiTheme="majorHAnsi" w:hAnsiTheme="majorHAnsi"/>
          <w:spacing w:val="40"/>
        </w:rPr>
        <w:t xml:space="preserve"> </w:t>
      </w:r>
      <w:r w:rsidRPr="000B1E94">
        <w:rPr>
          <w:rFonts w:asciiTheme="majorHAnsi" w:hAnsiTheme="majorHAnsi"/>
        </w:rPr>
        <w:t>the board of the Unlisted Material Subsidiary, whether incorporated in India or overseas.</w:t>
      </w:r>
    </w:p>
    <w:p w:rsidR="001B0093" w:rsidRPr="000B1E94" w:rsidRDefault="00000000">
      <w:pPr>
        <w:pStyle w:val="BodyText"/>
        <w:spacing w:before="237" w:line="276" w:lineRule="auto"/>
        <w:ind w:left="383" w:right="159" w:hanging="1"/>
        <w:jc w:val="both"/>
        <w:rPr>
          <w:rFonts w:asciiTheme="majorHAnsi" w:hAnsiTheme="majorHAnsi"/>
        </w:rPr>
      </w:pPr>
      <w:r w:rsidRPr="000B1E94">
        <w:rPr>
          <w:rFonts w:asciiTheme="majorHAnsi" w:hAnsiTheme="majorHAnsi"/>
        </w:rPr>
        <w:t>For this purpose, in terms of the Explanation to the Regulation 24(1) the SEBI LODR Regulations, the terms Material Subsidiary shall mean a subsidiary of the Company whose income or net worth exceeds 20% of the consolidated income or net worth respectively, of the Company and its subsidiaries in the immediately preceding accounting year.</w:t>
      </w:r>
    </w:p>
    <w:p w:rsidR="001B0093" w:rsidRPr="000B1E94" w:rsidRDefault="00000000">
      <w:pPr>
        <w:pStyle w:val="Heading1"/>
        <w:numPr>
          <w:ilvl w:val="0"/>
          <w:numId w:val="1"/>
        </w:numPr>
        <w:tabs>
          <w:tab w:val="left" w:pos="381"/>
        </w:tabs>
        <w:spacing w:before="239"/>
        <w:ind w:left="381" w:hanging="358"/>
        <w:rPr>
          <w:rFonts w:asciiTheme="majorHAnsi" w:hAnsiTheme="majorHAnsi"/>
        </w:rPr>
      </w:pPr>
      <w:r w:rsidRPr="000B1E94">
        <w:rPr>
          <w:rFonts w:asciiTheme="majorHAnsi" w:hAnsiTheme="majorHAnsi"/>
        </w:rPr>
        <w:t>Restriction</w:t>
      </w:r>
      <w:r w:rsidRPr="000B1E94">
        <w:rPr>
          <w:rFonts w:asciiTheme="majorHAnsi" w:hAnsiTheme="majorHAnsi"/>
          <w:spacing w:val="-8"/>
        </w:rPr>
        <w:t xml:space="preserve"> </w:t>
      </w:r>
      <w:r w:rsidRPr="000B1E94">
        <w:rPr>
          <w:rFonts w:asciiTheme="majorHAnsi" w:hAnsiTheme="majorHAnsi"/>
        </w:rPr>
        <w:t>on</w:t>
      </w:r>
      <w:r w:rsidRPr="000B1E94">
        <w:rPr>
          <w:rFonts w:asciiTheme="majorHAnsi" w:hAnsiTheme="majorHAnsi"/>
          <w:spacing w:val="-3"/>
        </w:rPr>
        <w:t xml:space="preserve"> </w:t>
      </w:r>
      <w:r w:rsidRPr="000B1E94">
        <w:rPr>
          <w:rFonts w:asciiTheme="majorHAnsi" w:hAnsiTheme="majorHAnsi"/>
        </w:rPr>
        <w:t>disposal</w:t>
      </w:r>
      <w:r w:rsidRPr="000B1E94">
        <w:rPr>
          <w:rFonts w:asciiTheme="majorHAnsi" w:hAnsiTheme="majorHAnsi"/>
          <w:spacing w:val="-4"/>
        </w:rPr>
        <w:t xml:space="preserve"> </w:t>
      </w:r>
      <w:r w:rsidRPr="000B1E94">
        <w:rPr>
          <w:rFonts w:asciiTheme="majorHAnsi" w:hAnsiTheme="majorHAnsi"/>
        </w:rPr>
        <w:t>of</w:t>
      </w:r>
      <w:r w:rsidRPr="000B1E94">
        <w:rPr>
          <w:rFonts w:asciiTheme="majorHAnsi" w:hAnsiTheme="majorHAnsi"/>
          <w:spacing w:val="-4"/>
        </w:rPr>
        <w:t xml:space="preserve"> </w:t>
      </w:r>
      <w:r w:rsidRPr="000B1E94">
        <w:rPr>
          <w:rFonts w:asciiTheme="majorHAnsi" w:hAnsiTheme="majorHAnsi"/>
        </w:rPr>
        <w:t>shares</w:t>
      </w:r>
      <w:r w:rsidRPr="000B1E94">
        <w:rPr>
          <w:rFonts w:asciiTheme="majorHAnsi" w:hAnsiTheme="majorHAnsi"/>
          <w:spacing w:val="-4"/>
        </w:rPr>
        <w:t xml:space="preserve"> </w:t>
      </w:r>
      <w:r w:rsidRPr="000B1E94">
        <w:rPr>
          <w:rFonts w:asciiTheme="majorHAnsi" w:hAnsiTheme="majorHAnsi"/>
        </w:rPr>
        <w:t>of</w:t>
      </w:r>
      <w:r w:rsidRPr="000B1E94">
        <w:rPr>
          <w:rFonts w:asciiTheme="majorHAnsi" w:hAnsiTheme="majorHAnsi"/>
          <w:spacing w:val="-4"/>
        </w:rPr>
        <w:t xml:space="preserve"> </w:t>
      </w:r>
      <w:r w:rsidRPr="000B1E94">
        <w:rPr>
          <w:rFonts w:asciiTheme="majorHAnsi" w:hAnsiTheme="majorHAnsi"/>
        </w:rPr>
        <w:t>Material</w:t>
      </w:r>
      <w:r w:rsidRPr="000B1E94">
        <w:rPr>
          <w:rFonts w:asciiTheme="majorHAnsi" w:hAnsiTheme="majorHAnsi"/>
          <w:spacing w:val="-3"/>
        </w:rPr>
        <w:t xml:space="preserve"> </w:t>
      </w:r>
      <w:r w:rsidRPr="000B1E94">
        <w:rPr>
          <w:rFonts w:asciiTheme="majorHAnsi" w:hAnsiTheme="majorHAnsi"/>
        </w:rPr>
        <w:t>Subsidiary</w:t>
      </w:r>
      <w:r w:rsidRPr="000B1E94">
        <w:rPr>
          <w:rFonts w:asciiTheme="majorHAnsi" w:hAnsiTheme="majorHAnsi"/>
          <w:spacing w:val="-6"/>
        </w:rPr>
        <w:t xml:space="preserve"> </w:t>
      </w:r>
      <w:r w:rsidRPr="000B1E94">
        <w:rPr>
          <w:rFonts w:asciiTheme="majorHAnsi" w:hAnsiTheme="majorHAnsi"/>
        </w:rPr>
        <w:t>by</w:t>
      </w:r>
      <w:r w:rsidRPr="000B1E94">
        <w:rPr>
          <w:rFonts w:asciiTheme="majorHAnsi" w:hAnsiTheme="majorHAnsi"/>
          <w:spacing w:val="-5"/>
        </w:rPr>
        <w:t xml:space="preserve"> </w:t>
      </w:r>
      <w:r w:rsidRPr="000B1E94">
        <w:rPr>
          <w:rFonts w:asciiTheme="majorHAnsi" w:hAnsiTheme="majorHAnsi"/>
        </w:rPr>
        <w:t>the</w:t>
      </w:r>
      <w:r w:rsidRPr="000B1E94">
        <w:rPr>
          <w:rFonts w:asciiTheme="majorHAnsi" w:hAnsiTheme="majorHAnsi"/>
          <w:spacing w:val="-5"/>
        </w:rPr>
        <w:t xml:space="preserve"> </w:t>
      </w:r>
      <w:r w:rsidRPr="000B1E94">
        <w:rPr>
          <w:rFonts w:asciiTheme="majorHAnsi" w:hAnsiTheme="majorHAnsi"/>
          <w:spacing w:val="-2"/>
        </w:rPr>
        <w:t>Company</w:t>
      </w:r>
    </w:p>
    <w:p w:rsidR="001B0093" w:rsidRPr="000B1E94" w:rsidRDefault="001B0093">
      <w:pPr>
        <w:pStyle w:val="BodyText"/>
        <w:spacing w:before="22"/>
        <w:rPr>
          <w:rFonts w:asciiTheme="majorHAnsi" w:hAnsiTheme="majorHAnsi"/>
          <w:b/>
        </w:rPr>
      </w:pPr>
    </w:p>
    <w:p w:rsidR="001B0093" w:rsidRPr="000B1E94" w:rsidRDefault="00000000">
      <w:pPr>
        <w:pStyle w:val="BodyText"/>
        <w:spacing w:line="276" w:lineRule="auto"/>
        <w:ind w:left="383" w:right="159"/>
        <w:jc w:val="both"/>
        <w:rPr>
          <w:rFonts w:asciiTheme="majorHAnsi" w:hAnsiTheme="majorHAnsi"/>
        </w:rPr>
      </w:pPr>
      <w:r w:rsidRPr="000B1E94">
        <w:rPr>
          <w:rFonts w:asciiTheme="majorHAnsi" w:hAnsiTheme="majorHAnsi"/>
        </w:rPr>
        <w:t xml:space="preserve">The Company shall not dispose </w:t>
      </w:r>
      <w:proofErr w:type="spellStart"/>
      <w:r w:rsidRPr="000B1E94">
        <w:rPr>
          <w:rFonts w:asciiTheme="majorHAnsi" w:hAnsiTheme="majorHAnsi"/>
        </w:rPr>
        <w:t>off</w:t>
      </w:r>
      <w:proofErr w:type="spellEnd"/>
      <w:r w:rsidRPr="000B1E94">
        <w:rPr>
          <w:rFonts w:asciiTheme="majorHAnsi" w:hAnsiTheme="majorHAnsi"/>
        </w:rPr>
        <w:t xml:space="preserve"> shares in its Material Subsidiary which would reduce its</w:t>
      </w:r>
      <w:r w:rsidRPr="000B1E94">
        <w:rPr>
          <w:rFonts w:asciiTheme="majorHAnsi" w:hAnsiTheme="majorHAnsi"/>
          <w:spacing w:val="-1"/>
        </w:rPr>
        <w:t xml:space="preserve"> </w:t>
      </w:r>
      <w:r w:rsidRPr="000B1E94">
        <w:rPr>
          <w:rFonts w:asciiTheme="majorHAnsi" w:hAnsiTheme="majorHAnsi"/>
        </w:rPr>
        <w:t>shareholding</w:t>
      </w:r>
      <w:r w:rsidRPr="000B1E94">
        <w:rPr>
          <w:rFonts w:asciiTheme="majorHAnsi" w:hAnsiTheme="majorHAnsi"/>
          <w:spacing w:val="-2"/>
        </w:rPr>
        <w:t xml:space="preserve"> </w:t>
      </w:r>
      <w:r w:rsidRPr="000B1E94">
        <w:rPr>
          <w:rFonts w:asciiTheme="majorHAnsi" w:hAnsiTheme="majorHAnsi"/>
        </w:rPr>
        <w:t>(either on</w:t>
      </w:r>
      <w:r w:rsidRPr="000B1E94">
        <w:rPr>
          <w:rFonts w:asciiTheme="majorHAnsi" w:hAnsiTheme="majorHAnsi"/>
          <w:spacing w:val="-2"/>
        </w:rPr>
        <w:t xml:space="preserve"> </w:t>
      </w:r>
      <w:r w:rsidRPr="000B1E94">
        <w:rPr>
          <w:rFonts w:asciiTheme="majorHAnsi" w:hAnsiTheme="majorHAnsi"/>
        </w:rPr>
        <w:t>its</w:t>
      </w:r>
      <w:r w:rsidRPr="000B1E94">
        <w:rPr>
          <w:rFonts w:asciiTheme="majorHAnsi" w:hAnsiTheme="majorHAnsi"/>
          <w:spacing w:val="-1"/>
        </w:rPr>
        <w:t xml:space="preserve"> </w:t>
      </w:r>
      <w:r w:rsidRPr="000B1E94">
        <w:rPr>
          <w:rFonts w:asciiTheme="majorHAnsi" w:hAnsiTheme="majorHAnsi"/>
        </w:rPr>
        <w:t>own</w:t>
      </w:r>
      <w:r w:rsidRPr="000B1E94">
        <w:rPr>
          <w:rFonts w:asciiTheme="majorHAnsi" w:hAnsiTheme="majorHAnsi"/>
          <w:spacing w:val="-2"/>
        </w:rPr>
        <w:t xml:space="preserve"> </w:t>
      </w:r>
      <w:r w:rsidRPr="000B1E94">
        <w:rPr>
          <w:rFonts w:asciiTheme="majorHAnsi" w:hAnsiTheme="majorHAnsi"/>
        </w:rPr>
        <w:t>or</w:t>
      </w:r>
      <w:r w:rsidRPr="000B1E94">
        <w:rPr>
          <w:rFonts w:asciiTheme="majorHAnsi" w:hAnsiTheme="majorHAnsi"/>
          <w:spacing w:val="-3"/>
        </w:rPr>
        <w:t xml:space="preserve"> </w:t>
      </w:r>
      <w:r w:rsidRPr="000B1E94">
        <w:rPr>
          <w:rFonts w:asciiTheme="majorHAnsi" w:hAnsiTheme="majorHAnsi"/>
        </w:rPr>
        <w:t>together with</w:t>
      </w:r>
      <w:r w:rsidRPr="000B1E94">
        <w:rPr>
          <w:rFonts w:asciiTheme="majorHAnsi" w:hAnsiTheme="majorHAnsi"/>
          <w:spacing w:val="-4"/>
        </w:rPr>
        <w:t xml:space="preserve"> </w:t>
      </w:r>
      <w:r w:rsidRPr="000B1E94">
        <w:rPr>
          <w:rFonts w:asciiTheme="majorHAnsi" w:hAnsiTheme="majorHAnsi"/>
        </w:rPr>
        <w:t>other</w:t>
      </w:r>
      <w:r w:rsidRPr="000B1E94">
        <w:rPr>
          <w:rFonts w:asciiTheme="majorHAnsi" w:hAnsiTheme="majorHAnsi"/>
          <w:spacing w:val="-3"/>
        </w:rPr>
        <w:t xml:space="preserve"> </w:t>
      </w:r>
      <w:r w:rsidRPr="000B1E94">
        <w:rPr>
          <w:rFonts w:asciiTheme="majorHAnsi" w:hAnsiTheme="majorHAnsi"/>
        </w:rPr>
        <w:t>subsidiaries)</w:t>
      </w:r>
      <w:r w:rsidRPr="000B1E94">
        <w:rPr>
          <w:rFonts w:asciiTheme="majorHAnsi" w:hAnsiTheme="majorHAnsi"/>
          <w:spacing w:val="-3"/>
        </w:rPr>
        <w:t xml:space="preserve"> </w:t>
      </w:r>
      <w:r w:rsidRPr="000B1E94">
        <w:rPr>
          <w:rFonts w:asciiTheme="majorHAnsi" w:hAnsiTheme="majorHAnsi"/>
        </w:rPr>
        <w:t>to</w:t>
      </w:r>
      <w:r w:rsidRPr="000B1E94">
        <w:rPr>
          <w:rFonts w:asciiTheme="majorHAnsi" w:hAnsiTheme="majorHAnsi"/>
          <w:spacing w:val="-2"/>
        </w:rPr>
        <w:t xml:space="preserve"> </w:t>
      </w:r>
      <w:r w:rsidRPr="000B1E94">
        <w:rPr>
          <w:rFonts w:asciiTheme="majorHAnsi" w:hAnsiTheme="majorHAnsi"/>
        </w:rPr>
        <w:t>less</w:t>
      </w:r>
      <w:r w:rsidRPr="000B1E94">
        <w:rPr>
          <w:rFonts w:asciiTheme="majorHAnsi" w:hAnsiTheme="majorHAnsi"/>
          <w:spacing w:val="-1"/>
        </w:rPr>
        <w:t xml:space="preserve"> </w:t>
      </w:r>
      <w:r w:rsidRPr="000B1E94">
        <w:rPr>
          <w:rFonts w:asciiTheme="majorHAnsi" w:hAnsiTheme="majorHAnsi"/>
        </w:rPr>
        <w:t>than</w:t>
      </w:r>
      <w:r w:rsidRPr="000B1E94">
        <w:rPr>
          <w:rFonts w:asciiTheme="majorHAnsi" w:hAnsiTheme="majorHAnsi"/>
          <w:spacing w:val="-2"/>
        </w:rPr>
        <w:t xml:space="preserve"> </w:t>
      </w:r>
      <w:r w:rsidRPr="000B1E94">
        <w:rPr>
          <w:rFonts w:asciiTheme="majorHAnsi" w:hAnsiTheme="majorHAnsi"/>
        </w:rPr>
        <w:t>50%</w:t>
      </w:r>
      <w:r w:rsidRPr="000B1E94">
        <w:rPr>
          <w:rFonts w:asciiTheme="majorHAnsi" w:hAnsiTheme="majorHAnsi"/>
          <w:spacing w:val="-1"/>
        </w:rPr>
        <w:t xml:space="preserve"> </w:t>
      </w:r>
      <w:r w:rsidRPr="000B1E94">
        <w:rPr>
          <w:rFonts w:asciiTheme="majorHAnsi" w:hAnsiTheme="majorHAnsi"/>
        </w:rPr>
        <w:t xml:space="preserve">or cease the exercise of control over the subsidiary without passing a special resolution in its General Meeting except in such cases where divestment is made under a scheme of arrangement duly approved by a court/ tribunal or under a resolution plan duly approved under Section 31 of the Insolvency and Bankruptcy Code, 2016 and such an event is disclosed to the recognized stock exchanges within one day of the resolution plan being </w:t>
      </w:r>
      <w:r w:rsidRPr="000B1E94">
        <w:rPr>
          <w:rFonts w:asciiTheme="majorHAnsi" w:hAnsiTheme="majorHAnsi"/>
          <w:spacing w:val="-2"/>
        </w:rPr>
        <w:t>approved.</w:t>
      </w:r>
    </w:p>
    <w:p w:rsidR="001B0093" w:rsidRPr="000B1E94" w:rsidRDefault="00000000">
      <w:pPr>
        <w:pStyle w:val="Heading1"/>
        <w:numPr>
          <w:ilvl w:val="0"/>
          <w:numId w:val="1"/>
        </w:numPr>
        <w:tabs>
          <w:tab w:val="left" w:pos="381"/>
        </w:tabs>
        <w:spacing w:before="239"/>
        <w:ind w:left="381" w:hanging="358"/>
        <w:rPr>
          <w:rFonts w:asciiTheme="majorHAnsi" w:hAnsiTheme="majorHAnsi"/>
        </w:rPr>
      </w:pPr>
      <w:r w:rsidRPr="000B1E94">
        <w:rPr>
          <w:rFonts w:asciiTheme="majorHAnsi" w:hAnsiTheme="majorHAnsi"/>
        </w:rPr>
        <w:t>Restriction</w:t>
      </w:r>
      <w:r w:rsidRPr="000B1E94">
        <w:rPr>
          <w:rFonts w:asciiTheme="majorHAnsi" w:hAnsiTheme="majorHAnsi"/>
          <w:spacing w:val="-8"/>
        </w:rPr>
        <w:t xml:space="preserve"> </w:t>
      </w:r>
      <w:r w:rsidRPr="000B1E94">
        <w:rPr>
          <w:rFonts w:asciiTheme="majorHAnsi" w:hAnsiTheme="majorHAnsi"/>
        </w:rPr>
        <w:t>on</w:t>
      </w:r>
      <w:r w:rsidRPr="000B1E94">
        <w:rPr>
          <w:rFonts w:asciiTheme="majorHAnsi" w:hAnsiTheme="majorHAnsi"/>
          <w:spacing w:val="-4"/>
        </w:rPr>
        <w:t xml:space="preserve"> </w:t>
      </w:r>
      <w:r w:rsidRPr="000B1E94">
        <w:rPr>
          <w:rFonts w:asciiTheme="majorHAnsi" w:hAnsiTheme="majorHAnsi"/>
        </w:rPr>
        <w:t>disposal</w:t>
      </w:r>
      <w:r w:rsidRPr="000B1E94">
        <w:rPr>
          <w:rFonts w:asciiTheme="majorHAnsi" w:hAnsiTheme="majorHAnsi"/>
          <w:spacing w:val="-4"/>
        </w:rPr>
        <w:t xml:space="preserve"> </w:t>
      </w:r>
      <w:r w:rsidRPr="000B1E94">
        <w:rPr>
          <w:rFonts w:asciiTheme="majorHAnsi" w:hAnsiTheme="majorHAnsi"/>
        </w:rPr>
        <w:t>of</w:t>
      </w:r>
      <w:r w:rsidRPr="000B1E94">
        <w:rPr>
          <w:rFonts w:asciiTheme="majorHAnsi" w:hAnsiTheme="majorHAnsi"/>
          <w:spacing w:val="-4"/>
        </w:rPr>
        <w:t xml:space="preserve"> </w:t>
      </w:r>
      <w:r w:rsidRPr="000B1E94">
        <w:rPr>
          <w:rFonts w:asciiTheme="majorHAnsi" w:hAnsiTheme="majorHAnsi"/>
        </w:rPr>
        <w:t>assets</w:t>
      </w:r>
      <w:r w:rsidRPr="000B1E94">
        <w:rPr>
          <w:rFonts w:asciiTheme="majorHAnsi" w:hAnsiTheme="majorHAnsi"/>
          <w:spacing w:val="-6"/>
        </w:rPr>
        <w:t xml:space="preserve"> </w:t>
      </w:r>
      <w:r w:rsidRPr="000B1E94">
        <w:rPr>
          <w:rFonts w:asciiTheme="majorHAnsi" w:hAnsiTheme="majorHAnsi"/>
        </w:rPr>
        <w:t>of</w:t>
      </w:r>
      <w:r w:rsidRPr="000B1E94">
        <w:rPr>
          <w:rFonts w:asciiTheme="majorHAnsi" w:hAnsiTheme="majorHAnsi"/>
          <w:spacing w:val="-5"/>
        </w:rPr>
        <w:t xml:space="preserve"> </w:t>
      </w:r>
      <w:r w:rsidRPr="000B1E94">
        <w:rPr>
          <w:rFonts w:asciiTheme="majorHAnsi" w:hAnsiTheme="majorHAnsi"/>
        </w:rPr>
        <w:t>Material</w:t>
      </w:r>
      <w:r w:rsidRPr="000B1E94">
        <w:rPr>
          <w:rFonts w:asciiTheme="majorHAnsi" w:hAnsiTheme="majorHAnsi"/>
          <w:spacing w:val="-3"/>
        </w:rPr>
        <w:t xml:space="preserve"> </w:t>
      </w:r>
      <w:r w:rsidRPr="000B1E94">
        <w:rPr>
          <w:rFonts w:asciiTheme="majorHAnsi" w:hAnsiTheme="majorHAnsi"/>
          <w:spacing w:val="-2"/>
        </w:rPr>
        <w:t>Subsidiary</w:t>
      </w:r>
    </w:p>
    <w:p w:rsidR="001B0093" w:rsidRPr="000B1E94" w:rsidRDefault="001B0093">
      <w:pPr>
        <w:pStyle w:val="BodyText"/>
        <w:spacing w:before="22"/>
        <w:rPr>
          <w:rFonts w:asciiTheme="majorHAnsi" w:hAnsiTheme="majorHAnsi"/>
          <w:b/>
        </w:rPr>
      </w:pPr>
    </w:p>
    <w:p w:rsidR="001B0093" w:rsidRPr="000B1E94" w:rsidRDefault="00000000">
      <w:pPr>
        <w:pStyle w:val="BodyText"/>
        <w:spacing w:line="278" w:lineRule="auto"/>
        <w:ind w:left="383" w:right="161"/>
        <w:jc w:val="both"/>
        <w:rPr>
          <w:rFonts w:asciiTheme="majorHAnsi" w:hAnsiTheme="majorHAnsi"/>
        </w:rPr>
      </w:pPr>
      <w:r w:rsidRPr="000B1E94">
        <w:rPr>
          <w:rFonts w:asciiTheme="majorHAnsi" w:hAnsiTheme="majorHAnsi"/>
        </w:rPr>
        <w:t>Selling, disposing and</w:t>
      </w:r>
      <w:r w:rsidRPr="000B1E94">
        <w:rPr>
          <w:rFonts w:asciiTheme="majorHAnsi" w:hAnsiTheme="majorHAnsi"/>
          <w:spacing w:val="-3"/>
        </w:rPr>
        <w:t xml:space="preserve"> </w:t>
      </w:r>
      <w:r w:rsidRPr="000B1E94">
        <w:rPr>
          <w:rFonts w:asciiTheme="majorHAnsi" w:hAnsiTheme="majorHAnsi"/>
        </w:rPr>
        <w:t>leasing of</w:t>
      </w:r>
      <w:r w:rsidRPr="000B1E94">
        <w:rPr>
          <w:rFonts w:asciiTheme="majorHAnsi" w:hAnsiTheme="majorHAnsi"/>
          <w:spacing w:val="-1"/>
        </w:rPr>
        <w:t xml:space="preserve"> </w:t>
      </w:r>
      <w:r w:rsidRPr="000B1E94">
        <w:rPr>
          <w:rFonts w:asciiTheme="majorHAnsi" w:hAnsiTheme="majorHAnsi"/>
        </w:rPr>
        <w:t>assets</w:t>
      </w:r>
      <w:r w:rsidRPr="000B1E94">
        <w:rPr>
          <w:rFonts w:asciiTheme="majorHAnsi" w:hAnsiTheme="majorHAnsi"/>
          <w:spacing w:val="-2"/>
        </w:rPr>
        <w:t xml:space="preserve"> </w:t>
      </w:r>
      <w:r w:rsidRPr="000B1E94">
        <w:rPr>
          <w:rFonts w:asciiTheme="majorHAnsi" w:hAnsiTheme="majorHAnsi"/>
        </w:rPr>
        <w:t>amounting to</w:t>
      </w:r>
      <w:r w:rsidRPr="000B1E94">
        <w:rPr>
          <w:rFonts w:asciiTheme="majorHAnsi" w:hAnsiTheme="majorHAnsi"/>
          <w:spacing w:val="-5"/>
        </w:rPr>
        <w:t xml:space="preserve"> </w:t>
      </w:r>
      <w:r w:rsidRPr="000B1E94">
        <w:rPr>
          <w:rFonts w:asciiTheme="majorHAnsi" w:hAnsiTheme="majorHAnsi"/>
        </w:rPr>
        <w:t>more</w:t>
      </w:r>
      <w:r w:rsidRPr="000B1E94">
        <w:rPr>
          <w:rFonts w:asciiTheme="majorHAnsi" w:hAnsiTheme="majorHAnsi"/>
          <w:spacing w:val="-3"/>
        </w:rPr>
        <w:t xml:space="preserve"> </w:t>
      </w:r>
      <w:r w:rsidRPr="000B1E94">
        <w:rPr>
          <w:rFonts w:asciiTheme="majorHAnsi" w:hAnsiTheme="majorHAnsi"/>
        </w:rPr>
        <w:t>than</w:t>
      </w:r>
      <w:r w:rsidRPr="000B1E94">
        <w:rPr>
          <w:rFonts w:asciiTheme="majorHAnsi" w:hAnsiTheme="majorHAnsi"/>
          <w:spacing w:val="-3"/>
        </w:rPr>
        <w:t xml:space="preserve"> </w:t>
      </w:r>
      <w:r w:rsidRPr="000B1E94">
        <w:rPr>
          <w:rFonts w:asciiTheme="majorHAnsi" w:hAnsiTheme="majorHAnsi"/>
        </w:rPr>
        <w:t>20%</w:t>
      </w:r>
      <w:r w:rsidRPr="000B1E94">
        <w:rPr>
          <w:rFonts w:asciiTheme="majorHAnsi" w:hAnsiTheme="majorHAnsi"/>
          <w:spacing w:val="-2"/>
        </w:rPr>
        <w:t xml:space="preserve"> </w:t>
      </w:r>
      <w:r w:rsidRPr="000B1E94">
        <w:rPr>
          <w:rFonts w:asciiTheme="majorHAnsi" w:hAnsiTheme="majorHAnsi"/>
        </w:rPr>
        <w:t>of</w:t>
      </w:r>
      <w:r w:rsidRPr="000B1E94">
        <w:rPr>
          <w:rFonts w:asciiTheme="majorHAnsi" w:hAnsiTheme="majorHAnsi"/>
          <w:spacing w:val="-1"/>
        </w:rPr>
        <w:t xml:space="preserve"> </w:t>
      </w:r>
      <w:r w:rsidRPr="000B1E94">
        <w:rPr>
          <w:rFonts w:asciiTheme="majorHAnsi" w:hAnsiTheme="majorHAnsi"/>
        </w:rPr>
        <w:t>the assets</w:t>
      </w:r>
      <w:r w:rsidRPr="000B1E94">
        <w:rPr>
          <w:rFonts w:asciiTheme="majorHAnsi" w:hAnsiTheme="majorHAnsi"/>
          <w:spacing w:val="-2"/>
        </w:rPr>
        <w:t xml:space="preserve"> </w:t>
      </w:r>
      <w:r w:rsidRPr="000B1E94">
        <w:rPr>
          <w:rFonts w:asciiTheme="majorHAnsi" w:hAnsiTheme="majorHAnsi"/>
        </w:rPr>
        <w:t>of</w:t>
      </w:r>
      <w:r w:rsidRPr="000B1E94">
        <w:rPr>
          <w:rFonts w:asciiTheme="majorHAnsi" w:hAnsiTheme="majorHAnsi"/>
          <w:spacing w:val="-4"/>
        </w:rPr>
        <w:t xml:space="preserve"> </w:t>
      </w:r>
      <w:r w:rsidRPr="000B1E94">
        <w:rPr>
          <w:rFonts w:asciiTheme="majorHAnsi" w:hAnsiTheme="majorHAnsi"/>
        </w:rPr>
        <w:t>the Material</w:t>
      </w:r>
      <w:r w:rsidRPr="000B1E94">
        <w:rPr>
          <w:rFonts w:asciiTheme="majorHAnsi" w:hAnsiTheme="majorHAnsi"/>
          <w:spacing w:val="28"/>
        </w:rPr>
        <w:t xml:space="preserve"> </w:t>
      </w:r>
      <w:r w:rsidRPr="000B1E94">
        <w:rPr>
          <w:rFonts w:asciiTheme="majorHAnsi" w:hAnsiTheme="majorHAnsi"/>
        </w:rPr>
        <w:t>Subsidiary</w:t>
      </w:r>
      <w:r w:rsidRPr="000B1E94">
        <w:rPr>
          <w:rFonts w:asciiTheme="majorHAnsi" w:hAnsiTheme="majorHAnsi"/>
          <w:spacing w:val="29"/>
        </w:rPr>
        <w:t xml:space="preserve"> </w:t>
      </w:r>
      <w:r w:rsidRPr="000B1E94">
        <w:rPr>
          <w:rFonts w:asciiTheme="majorHAnsi" w:hAnsiTheme="majorHAnsi"/>
        </w:rPr>
        <w:t>on</w:t>
      </w:r>
      <w:r w:rsidRPr="000B1E94">
        <w:rPr>
          <w:rFonts w:asciiTheme="majorHAnsi" w:hAnsiTheme="majorHAnsi"/>
          <w:spacing w:val="26"/>
        </w:rPr>
        <w:t xml:space="preserve"> </w:t>
      </w:r>
      <w:r w:rsidRPr="000B1E94">
        <w:rPr>
          <w:rFonts w:asciiTheme="majorHAnsi" w:hAnsiTheme="majorHAnsi"/>
        </w:rPr>
        <w:t>an</w:t>
      </w:r>
      <w:r w:rsidRPr="000B1E94">
        <w:rPr>
          <w:rFonts w:asciiTheme="majorHAnsi" w:hAnsiTheme="majorHAnsi"/>
          <w:spacing w:val="28"/>
        </w:rPr>
        <w:t xml:space="preserve"> </w:t>
      </w:r>
      <w:r w:rsidRPr="000B1E94">
        <w:rPr>
          <w:rFonts w:asciiTheme="majorHAnsi" w:hAnsiTheme="majorHAnsi"/>
        </w:rPr>
        <w:t>aggregate</w:t>
      </w:r>
      <w:r w:rsidRPr="000B1E94">
        <w:rPr>
          <w:rFonts w:asciiTheme="majorHAnsi" w:hAnsiTheme="majorHAnsi"/>
          <w:spacing w:val="28"/>
        </w:rPr>
        <w:t xml:space="preserve"> </w:t>
      </w:r>
      <w:r w:rsidRPr="000B1E94">
        <w:rPr>
          <w:rFonts w:asciiTheme="majorHAnsi" w:hAnsiTheme="majorHAnsi"/>
        </w:rPr>
        <w:t>basis</w:t>
      </w:r>
      <w:r w:rsidRPr="000B1E94">
        <w:rPr>
          <w:rFonts w:asciiTheme="majorHAnsi" w:hAnsiTheme="majorHAnsi"/>
          <w:spacing w:val="29"/>
        </w:rPr>
        <w:t xml:space="preserve"> </w:t>
      </w:r>
      <w:r w:rsidRPr="000B1E94">
        <w:rPr>
          <w:rFonts w:asciiTheme="majorHAnsi" w:hAnsiTheme="majorHAnsi"/>
        </w:rPr>
        <w:t>during</w:t>
      </w:r>
      <w:r w:rsidRPr="000B1E94">
        <w:rPr>
          <w:rFonts w:asciiTheme="majorHAnsi" w:hAnsiTheme="majorHAnsi"/>
          <w:spacing w:val="28"/>
        </w:rPr>
        <w:t xml:space="preserve"> </w:t>
      </w:r>
      <w:r w:rsidRPr="000B1E94">
        <w:rPr>
          <w:rFonts w:asciiTheme="majorHAnsi" w:hAnsiTheme="majorHAnsi"/>
        </w:rPr>
        <w:t>a</w:t>
      </w:r>
      <w:r w:rsidRPr="000B1E94">
        <w:rPr>
          <w:rFonts w:asciiTheme="majorHAnsi" w:hAnsiTheme="majorHAnsi"/>
          <w:spacing w:val="26"/>
        </w:rPr>
        <w:t xml:space="preserve"> </w:t>
      </w:r>
      <w:r w:rsidRPr="000B1E94">
        <w:rPr>
          <w:rFonts w:asciiTheme="majorHAnsi" w:hAnsiTheme="majorHAnsi"/>
        </w:rPr>
        <w:t>financial</w:t>
      </w:r>
      <w:r w:rsidRPr="000B1E94">
        <w:rPr>
          <w:rFonts w:asciiTheme="majorHAnsi" w:hAnsiTheme="majorHAnsi"/>
          <w:spacing w:val="28"/>
        </w:rPr>
        <w:t xml:space="preserve"> </w:t>
      </w:r>
      <w:r w:rsidRPr="000B1E94">
        <w:rPr>
          <w:rFonts w:asciiTheme="majorHAnsi" w:hAnsiTheme="majorHAnsi"/>
        </w:rPr>
        <w:t>year</w:t>
      </w:r>
      <w:r w:rsidRPr="000B1E94">
        <w:rPr>
          <w:rFonts w:asciiTheme="majorHAnsi" w:hAnsiTheme="majorHAnsi"/>
          <w:spacing w:val="27"/>
        </w:rPr>
        <w:t xml:space="preserve"> </w:t>
      </w:r>
      <w:r w:rsidRPr="000B1E94">
        <w:rPr>
          <w:rFonts w:asciiTheme="majorHAnsi" w:hAnsiTheme="majorHAnsi"/>
        </w:rPr>
        <w:t>shall</w:t>
      </w:r>
      <w:r w:rsidRPr="000B1E94">
        <w:rPr>
          <w:rFonts w:asciiTheme="majorHAnsi" w:hAnsiTheme="majorHAnsi"/>
          <w:spacing w:val="26"/>
        </w:rPr>
        <w:t xml:space="preserve"> </w:t>
      </w:r>
      <w:r w:rsidRPr="000B1E94">
        <w:rPr>
          <w:rFonts w:asciiTheme="majorHAnsi" w:hAnsiTheme="majorHAnsi"/>
        </w:rPr>
        <w:t>require</w:t>
      </w:r>
      <w:r w:rsidRPr="000B1E94">
        <w:rPr>
          <w:rFonts w:asciiTheme="majorHAnsi" w:hAnsiTheme="majorHAnsi"/>
          <w:spacing w:val="28"/>
        </w:rPr>
        <w:t xml:space="preserve"> </w:t>
      </w:r>
      <w:r w:rsidRPr="000B1E94">
        <w:rPr>
          <w:rFonts w:asciiTheme="majorHAnsi" w:hAnsiTheme="majorHAnsi"/>
        </w:rPr>
        <w:t>a</w:t>
      </w:r>
      <w:r w:rsidRPr="000B1E94">
        <w:rPr>
          <w:rFonts w:asciiTheme="majorHAnsi" w:hAnsiTheme="majorHAnsi"/>
          <w:spacing w:val="28"/>
        </w:rPr>
        <w:t xml:space="preserve"> </w:t>
      </w:r>
      <w:r w:rsidRPr="000B1E94">
        <w:rPr>
          <w:rFonts w:asciiTheme="majorHAnsi" w:hAnsiTheme="majorHAnsi"/>
        </w:rPr>
        <w:t>prior</w:t>
      </w:r>
    </w:p>
    <w:p w:rsidR="001B0093" w:rsidRPr="000B1E94" w:rsidRDefault="001B0093">
      <w:pPr>
        <w:pStyle w:val="BodyText"/>
        <w:spacing w:line="278" w:lineRule="auto"/>
        <w:jc w:val="both"/>
        <w:rPr>
          <w:rFonts w:asciiTheme="majorHAnsi" w:hAnsiTheme="majorHAnsi"/>
        </w:rPr>
        <w:sectPr w:rsidR="001B0093" w:rsidRPr="000B1E94">
          <w:type w:val="continuous"/>
          <w:pgSz w:w="11910" w:h="16840"/>
          <w:pgMar w:top="2000" w:right="1275" w:bottom="1660" w:left="1417" w:header="504" w:footer="1465" w:gutter="0"/>
          <w:cols w:space="720"/>
        </w:sectPr>
      </w:pPr>
    </w:p>
    <w:p w:rsidR="001B0093" w:rsidRPr="000B1E94" w:rsidRDefault="00000000">
      <w:pPr>
        <w:pStyle w:val="BodyText"/>
        <w:spacing w:before="3" w:line="276" w:lineRule="auto"/>
        <w:ind w:left="382" w:right="158"/>
        <w:jc w:val="both"/>
        <w:rPr>
          <w:rFonts w:asciiTheme="majorHAnsi" w:hAnsiTheme="majorHAnsi"/>
        </w:rPr>
      </w:pPr>
      <w:r w:rsidRPr="000B1E94">
        <w:rPr>
          <w:rFonts w:asciiTheme="majorHAnsi" w:hAnsiTheme="majorHAnsi"/>
        </w:rPr>
        <w:lastRenderedPageBreak/>
        <w:t>approval of shareholders by way of special resolution, unless the sale/ disposal/ lease is made under a scheme of arrangement duly approved by a court/ tribunal or under a resolution plan duly approved under section 31 of the Insolvency and Bankruptcy Code, 2016 and such an event is disclosed to the recognized stock exchanges within one day</w:t>
      </w:r>
      <w:r w:rsidRPr="000B1E94">
        <w:rPr>
          <w:rFonts w:asciiTheme="majorHAnsi" w:hAnsiTheme="majorHAnsi"/>
          <w:spacing w:val="40"/>
        </w:rPr>
        <w:t xml:space="preserve"> </w:t>
      </w:r>
      <w:r w:rsidRPr="000B1E94">
        <w:rPr>
          <w:rFonts w:asciiTheme="majorHAnsi" w:hAnsiTheme="majorHAnsi"/>
        </w:rPr>
        <w:t>of the resolution plan being approved.</w:t>
      </w:r>
    </w:p>
    <w:p w:rsidR="001B0093" w:rsidRPr="000B1E94" w:rsidRDefault="00000000">
      <w:pPr>
        <w:pStyle w:val="Heading1"/>
        <w:numPr>
          <w:ilvl w:val="0"/>
          <w:numId w:val="1"/>
        </w:numPr>
        <w:tabs>
          <w:tab w:val="left" w:pos="381"/>
        </w:tabs>
        <w:spacing w:before="237"/>
        <w:ind w:left="381" w:hanging="358"/>
        <w:rPr>
          <w:rFonts w:asciiTheme="majorHAnsi" w:hAnsiTheme="majorHAnsi"/>
          <w:b w:val="0"/>
        </w:rPr>
      </w:pPr>
      <w:r w:rsidRPr="000B1E94">
        <w:rPr>
          <w:rFonts w:asciiTheme="majorHAnsi" w:hAnsiTheme="majorHAnsi"/>
        </w:rPr>
        <w:t>Secretarial</w:t>
      </w:r>
      <w:r w:rsidRPr="000B1E94">
        <w:rPr>
          <w:rFonts w:asciiTheme="majorHAnsi" w:hAnsiTheme="majorHAnsi"/>
          <w:spacing w:val="-7"/>
        </w:rPr>
        <w:t xml:space="preserve"> </w:t>
      </w:r>
      <w:r w:rsidRPr="000B1E94">
        <w:rPr>
          <w:rFonts w:asciiTheme="majorHAnsi" w:hAnsiTheme="majorHAnsi"/>
        </w:rPr>
        <w:t>Audit</w:t>
      </w:r>
      <w:r w:rsidRPr="000B1E94">
        <w:rPr>
          <w:rFonts w:asciiTheme="majorHAnsi" w:hAnsiTheme="majorHAnsi"/>
          <w:spacing w:val="-5"/>
        </w:rPr>
        <w:t xml:space="preserve"> </w:t>
      </w:r>
      <w:r w:rsidRPr="000B1E94">
        <w:rPr>
          <w:rFonts w:asciiTheme="majorHAnsi" w:hAnsiTheme="majorHAnsi"/>
        </w:rPr>
        <w:t>of</w:t>
      </w:r>
      <w:r w:rsidRPr="000B1E94">
        <w:rPr>
          <w:rFonts w:asciiTheme="majorHAnsi" w:hAnsiTheme="majorHAnsi"/>
          <w:spacing w:val="-7"/>
        </w:rPr>
        <w:t xml:space="preserve"> </w:t>
      </w:r>
      <w:r w:rsidRPr="000B1E94">
        <w:rPr>
          <w:rFonts w:asciiTheme="majorHAnsi" w:hAnsiTheme="majorHAnsi"/>
        </w:rPr>
        <w:t>Material</w:t>
      </w:r>
      <w:r w:rsidRPr="000B1E94">
        <w:rPr>
          <w:rFonts w:asciiTheme="majorHAnsi" w:hAnsiTheme="majorHAnsi"/>
          <w:spacing w:val="-3"/>
        </w:rPr>
        <w:t xml:space="preserve"> </w:t>
      </w:r>
      <w:r w:rsidRPr="000B1E94">
        <w:rPr>
          <w:rFonts w:asciiTheme="majorHAnsi" w:hAnsiTheme="majorHAnsi"/>
        </w:rPr>
        <w:t>Unlisted</w:t>
      </w:r>
      <w:r w:rsidRPr="000B1E94">
        <w:rPr>
          <w:rFonts w:asciiTheme="majorHAnsi" w:hAnsiTheme="majorHAnsi"/>
          <w:spacing w:val="-4"/>
        </w:rPr>
        <w:t xml:space="preserve"> </w:t>
      </w:r>
      <w:r w:rsidRPr="000B1E94">
        <w:rPr>
          <w:rFonts w:asciiTheme="majorHAnsi" w:hAnsiTheme="majorHAnsi"/>
        </w:rPr>
        <w:t>Subsidiaries</w:t>
      </w:r>
      <w:r w:rsidRPr="000B1E94">
        <w:rPr>
          <w:rFonts w:asciiTheme="majorHAnsi" w:hAnsiTheme="majorHAnsi"/>
          <w:spacing w:val="-6"/>
        </w:rPr>
        <w:t xml:space="preserve"> </w:t>
      </w:r>
      <w:r w:rsidRPr="000B1E94">
        <w:rPr>
          <w:rFonts w:asciiTheme="majorHAnsi" w:hAnsiTheme="majorHAnsi"/>
        </w:rPr>
        <w:t>in</w:t>
      </w:r>
      <w:r w:rsidRPr="000B1E94">
        <w:rPr>
          <w:rFonts w:asciiTheme="majorHAnsi" w:hAnsiTheme="majorHAnsi"/>
          <w:spacing w:val="-6"/>
        </w:rPr>
        <w:t xml:space="preserve"> </w:t>
      </w:r>
      <w:r w:rsidRPr="000B1E94">
        <w:rPr>
          <w:rFonts w:asciiTheme="majorHAnsi" w:hAnsiTheme="majorHAnsi"/>
          <w:spacing w:val="-2"/>
        </w:rPr>
        <w:t>India</w:t>
      </w:r>
    </w:p>
    <w:p w:rsidR="001B0093" w:rsidRPr="000B1E94" w:rsidRDefault="001B0093">
      <w:pPr>
        <w:pStyle w:val="BodyText"/>
        <w:spacing w:before="51"/>
        <w:rPr>
          <w:rFonts w:asciiTheme="majorHAnsi" w:hAnsiTheme="majorHAnsi"/>
          <w:b/>
        </w:rPr>
      </w:pPr>
    </w:p>
    <w:p w:rsidR="001B0093" w:rsidRPr="000B1E94" w:rsidRDefault="00000000">
      <w:pPr>
        <w:pStyle w:val="BodyText"/>
        <w:spacing w:line="276" w:lineRule="auto"/>
        <w:ind w:left="382" w:right="160"/>
        <w:jc w:val="both"/>
        <w:rPr>
          <w:rFonts w:asciiTheme="majorHAnsi" w:hAnsiTheme="majorHAnsi"/>
        </w:rPr>
      </w:pPr>
      <w:r w:rsidRPr="000B1E94">
        <w:rPr>
          <w:rFonts w:asciiTheme="majorHAnsi" w:hAnsiTheme="majorHAnsi"/>
        </w:rPr>
        <w:t>The Material Unlisted Subsidiaries of the Company incorporated in India shall undertake Secretarial Audit and the Secretarial Audit Report given by a Company Secretary in practice</w:t>
      </w:r>
      <w:r w:rsidRPr="000B1E94">
        <w:rPr>
          <w:rFonts w:asciiTheme="majorHAnsi" w:hAnsiTheme="majorHAnsi"/>
          <w:spacing w:val="-2"/>
        </w:rPr>
        <w:t xml:space="preserve"> </w:t>
      </w:r>
      <w:r w:rsidRPr="000B1E94">
        <w:rPr>
          <w:rFonts w:asciiTheme="majorHAnsi" w:hAnsiTheme="majorHAnsi"/>
        </w:rPr>
        <w:t>in that regard, in</w:t>
      </w:r>
      <w:r w:rsidRPr="000B1E94">
        <w:rPr>
          <w:rFonts w:asciiTheme="majorHAnsi" w:hAnsiTheme="majorHAnsi"/>
          <w:spacing w:val="-2"/>
        </w:rPr>
        <w:t xml:space="preserve"> </w:t>
      </w:r>
      <w:r w:rsidRPr="000B1E94">
        <w:rPr>
          <w:rFonts w:asciiTheme="majorHAnsi" w:hAnsiTheme="majorHAnsi"/>
        </w:rPr>
        <w:t>such</w:t>
      </w:r>
      <w:r w:rsidRPr="000B1E94">
        <w:rPr>
          <w:rFonts w:asciiTheme="majorHAnsi" w:hAnsiTheme="majorHAnsi"/>
          <w:spacing w:val="-2"/>
        </w:rPr>
        <w:t xml:space="preserve"> </w:t>
      </w:r>
      <w:r w:rsidRPr="000B1E94">
        <w:rPr>
          <w:rFonts w:asciiTheme="majorHAnsi" w:hAnsiTheme="majorHAnsi"/>
        </w:rPr>
        <w:t>form as</w:t>
      </w:r>
      <w:r w:rsidRPr="000B1E94">
        <w:rPr>
          <w:rFonts w:asciiTheme="majorHAnsi" w:hAnsiTheme="majorHAnsi"/>
          <w:spacing w:val="-1"/>
        </w:rPr>
        <w:t xml:space="preserve"> </w:t>
      </w:r>
      <w:r w:rsidRPr="000B1E94">
        <w:rPr>
          <w:rFonts w:asciiTheme="majorHAnsi" w:hAnsiTheme="majorHAnsi"/>
        </w:rPr>
        <w:t>specified,</w:t>
      </w:r>
      <w:r w:rsidRPr="000B1E94">
        <w:rPr>
          <w:rFonts w:asciiTheme="majorHAnsi" w:hAnsiTheme="majorHAnsi"/>
          <w:spacing w:val="-2"/>
        </w:rPr>
        <w:t xml:space="preserve"> </w:t>
      </w:r>
      <w:r w:rsidRPr="000B1E94">
        <w:rPr>
          <w:rFonts w:asciiTheme="majorHAnsi" w:hAnsiTheme="majorHAnsi"/>
        </w:rPr>
        <w:t>shall be annexed with</w:t>
      </w:r>
      <w:r w:rsidRPr="000B1E94">
        <w:rPr>
          <w:rFonts w:asciiTheme="majorHAnsi" w:hAnsiTheme="majorHAnsi"/>
          <w:spacing w:val="-2"/>
        </w:rPr>
        <w:t xml:space="preserve"> </w:t>
      </w:r>
      <w:r w:rsidRPr="000B1E94">
        <w:rPr>
          <w:rFonts w:asciiTheme="majorHAnsi" w:hAnsiTheme="majorHAnsi"/>
        </w:rPr>
        <w:t>the annual report of the Company.</w:t>
      </w:r>
    </w:p>
    <w:p w:rsidR="001B0093" w:rsidRPr="000B1E94" w:rsidRDefault="001B0093">
      <w:pPr>
        <w:pStyle w:val="BodyText"/>
        <w:spacing w:before="37"/>
        <w:rPr>
          <w:rFonts w:asciiTheme="majorHAnsi" w:hAnsiTheme="majorHAnsi"/>
        </w:rPr>
      </w:pPr>
    </w:p>
    <w:p w:rsidR="001B0093" w:rsidRPr="000B1E94" w:rsidRDefault="00000000">
      <w:pPr>
        <w:pStyle w:val="Heading1"/>
        <w:numPr>
          <w:ilvl w:val="0"/>
          <w:numId w:val="1"/>
        </w:numPr>
        <w:tabs>
          <w:tab w:val="left" w:pos="380"/>
        </w:tabs>
        <w:spacing w:before="1"/>
        <w:ind w:left="380" w:hanging="358"/>
        <w:rPr>
          <w:rFonts w:asciiTheme="majorHAnsi" w:hAnsiTheme="majorHAnsi"/>
        </w:rPr>
      </w:pPr>
      <w:r w:rsidRPr="000B1E94">
        <w:rPr>
          <w:rFonts w:asciiTheme="majorHAnsi" w:hAnsiTheme="majorHAnsi"/>
        </w:rPr>
        <w:t>Reporting</w:t>
      </w:r>
      <w:r w:rsidRPr="000B1E94">
        <w:rPr>
          <w:rFonts w:asciiTheme="majorHAnsi" w:hAnsiTheme="majorHAnsi"/>
          <w:spacing w:val="-6"/>
        </w:rPr>
        <w:t xml:space="preserve"> </w:t>
      </w:r>
      <w:r w:rsidRPr="000B1E94">
        <w:rPr>
          <w:rFonts w:asciiTheme="majorHAnsi" w:hAnsiTheme="majorHAnsi"/>
        </w:rPr>
        <w:t>and</w:t>
      </w:r>
      <w:r w:rsidRPr="000B1E94">
        <w:rPr>
          <w:rFonts w:asciiTheme="majorHAnsi" w:hAnsiTheme="majorHAnsi"/>
          <w:spacing w:val="-3"/>
        </w:rPr>
        <w:t xml:space="preserve"> </w:t>
      </w:r>
      <w:r w:rsidRPr="000B1E94">
        <w:rPr>
          <w:rFonts w:asciiTheme="majorHAnsi" w:hAnsiTheme="majorHAnsi"/>
          <w:spacing w:val="-2"/>
        </w:rPr>
        <w:t>Disclosure</w:t>
      </w:r>
    </w:p>
    <w:p w:rsidR="001B0093" w:rsidRPr="000B1E94" w:rsidRDefault="001B0093">
      <w:pPr>
        <w:pStyle w:val="BodyText"/>
        <w:spacing w:before="74"/>
        <w:rPr>
          <w:rFonts w:asciiTheme="majorHAnsi" w:hAnsiTheme="majorHAnsi"/>
          <w:b/>
        </w:rPr>
      </w:pPr>
    </w:p>
    <w:p w:rsidR="001B0093" w:rsidRPr="000B1E94" w:rsidRDefault="00000000">
      <w:pPr>
        <w:pStyle w:val="BodyText"/>
        <w:spacing w:line="276" w:lineRule="auto"/>
        <w:ind w:left="382" w:right="161"/>
        <w:jc w:val="both"/>
        <w:rPr>
          <w:rFonts w:asciiTheme="majorHAnsi" w:hAnsiTheme="majorHAnsi"/>
        </w:rPr>
      </w:pPr>
      <w:r w:rsidRPr="000B1E94">
        <w:rPr>
          <w:rFonts w:asciiTheme="majorHAnsi" w:hAnsiTheme="majorHAnsi"/>
        </w:rPr>
        <w:t>As prescribed in terms of the provisions of Clause 62(1</w:t>
      </w:r>
      <w:proofErr w:type="gramStart"/>
      <w:r w:rsidRPr="000B1E94">
        <w:rPr>
          <w:rFonts w:asciiTheme="majorHAnsi" w:hAnsiTheme="majorHAnsi"/>
        </w:rPr>
        <w:t>A)(</w:t>
      </w:r>
      <w:proofErr w:type="gramEnd"/>
      <w:r w:rsidRPr="000B1E94">
        <w:rPr>
          <w:rFonts w:asciiTheme="majorHAnsi" w:hAnsiTheme="majorHAnsi"/>
        </w:rPr>
        <w:t>h) and other applicable provisions, if any, of the SEBI LODR Regulations, this Policy shall be disclosed on the website of the Company.</w:t>
      </w:r>
    </w:p>
    <w:p w:rsidR="001B0093" w:rsidRPr="000B1E94" w:rsidRDefault="001B0093">
      <w:pPr>
        <w:pStyle w:val="BodyText"/>
        <w:spacing w:before="38"/>
        <w:rPr>
          <w:rFonts w:asciiTheme="majorHAnsi" w:hAnsiTheme="majorHAnsi"/>
        </w:rPr>
      </w:pPr>
    </w:p>
    <w:p w:rsidR="001B0093" w:rsidRPr="000B1E94" w:rsidRDefault="00000000">
      <w:pPr>
        <w:pStyle w:val="BodyText"/>
        <w:spacing w:line="276" w:lineRule="auto"/>
        <w:ind w:left="382" w:right="159"/>
        <w:jc w:val="both"/>
        <w:rPr>
          <w:rFonts w:asciiTheme="majorHAnsi" w:hAnsiTheme="majorHAnsi"/>
        </w:rPr>
      </w:pPr>
      <w:r w:rsidRPr="000B1E94">
        <w:rPr>
          <w:rFonts w:asciiTheme="majorHAnsi" w:hAnsiTheme="majorHAnsi"/>
        </w:rPr>
        <w:t>The Company shall follow such other reporting and disclosure requirements as may be specified in terms of the provisions of the Companies Act, 2013 and the SEBI LODR Regulations, from time to time.</w:t>
      </w:r>
    </w:p>
    <w:p w:rsidR="001B0093" w:rsidRPr="000B1E94" w:rsidRDefault="001B0093">
      <w:pPr>
        <w:pStyle w:val="BodyText"/>
        <w:spacing w:before="38"/>
        <w:rPr>
          <w:rFonts w:asciiTheme="majorHAnsi" w:hAnsiTheme="majorHAnsi"/>
        </w:rPr>
      </w:pPr>
    </w:p>
    <w:p w:rsidR="001B0093" w:rsidRPr="000B1E94" w:rsidRDefault="00000000">
      <w:pPr>
        <w:pStyle w:val="Heading1"/>
        <w:numPr>
          <w:ilvl w:val="0"/>
          <w:numId w:val="1"/>
        </w:numPr>
        <w:tabs>
          <w:tab w:val="left" w:pos="380"/>
        </w:tabs>
        <w:ind w:left="380" w:hanging="358"/>
        <w:rPr>
          <w:rFonts w:asciiTheme="majorHAnsi" w:hAnsiTheme="majorHAnsi"/>
        </w:rPr>
      </w:pPr>
      <w:r w:rsidRPr="000B1E94">
        <w:rPr>
          <w:rFonts w:asciiTheme="majorHAnsi" w:hAnsiTheme="majorHAnsi"/>
        </w:rPr>
        <w:t>Review</w:t>
      </w:r>
      <w:r w:rsidRPr="000B1E94">
        <w:rPr>
          <w:rFonts w:asciiTheme="majorHAnsi" w:hAnsiTheme="majorHAnsi"/>
          <w:spacing w:val="-3"/>
        </w:rPr>
        <w:t xml:space="preserve"> </w:t>
      </w:r>
      <w:r w:rsidRPr="000B1E94">
        <w:rPr>
          <w:rFonts w:asciiTheme="majorHAnsi" w:hAnsiTheme="majorHAnsi"/>
        </w:rPr>
        <w:t>of</w:t>
      </w:r>
      <w:r w:rsidRPr="000B1E94">
        <w:rPr>
          <w:rFonts w:asciiTheme="majorHAnsi" w:hAnsiTheme="majorHAnsi"/>
          <w:spacing w:val="-3"/>
        </w:rPr>
        <w:t xml:space="preserve"> </w:t>
      </w:r>
      <w:r w:rsidRPr="000B1E94">
        <w:rPr>
          <w:rFonts w:asciiTheme="majorHAnsi" w:hAnsiTheme="majorHAnsi"/>
        </w:rPr>
        <w:t>the</w:t>
      </w:r>
      <w:r w:rsidRPr="000B1E94">
        <w:rPr>
          <w:rFonts w:asciiTheme="majorHAnsi" w:hAnsiTheme="majorHAnsi"/>
          <w:spacing w:val="-3"/>
        </w:rPr>
        <w:t xml:space="preserve"> </w:t>
      </w:r>
      <w:r w:rsidRPr="000B1E94">
        <w:rPr>
          <w:rFonts w:asciiTheme="majorHAnsi" w:hAnsiTheme="majorHAnsi"/>
          <w:spacing w:val="-2"/>
        </w:rPr>
        <w:t>Policy</w:t>
      </w:r>
    </w:p>
    <w:p w:rsidR="001B0093" w:rsidRPr="000B1E94" w:rsidRDefault="001B0093">
      <w:pPr>
        <w:pStyle w:val="BodyText"/>
        <w:spacing w:before="75"/>
        <w:rPr>
          <w:rFonts w:asciiTheme="majorHAnsi" w:hAnsiTheme="majorHAnsi"/>
          <w:b/>
        </w:rPr>
      </w:pPr>
    </w:p>
    <w:p w:rsidR="001B0093" w:rsidRPr="000B1E94" w:rsidRDefault="00000000">
      <w:pPr>
        <w:pStyle w:val="BodyText"/>
        <w:spacing w:line="278" w:lineRule="auto"/>
        <w:ind w:left="381" w:right="164"/>
        <w:jc w:val="both"/>
        <w:rPr>
          <w:rFonts w:asciiTheme="majorHAnsi" w:hAnsiTheme="majorHAnsi"/>
        </w:rPr>
      </w:pPr>
      <w:r w:rsidRPr="000B1E94">
        <w:rPr>
          <w:rFonts w:asciiTheme="majorHAnsi" w:hAnsiTheme="majorHAnsi"/>
        </w:rPr>
        <w:t>This Policy shall be subject to review as may be deemed necessary as per any</w:t>
      </w:r>
      <w:r w:rsidRPr="000B1E94">
        <w:rPr>
          <w:rFonts w:asciiTheme="majorHAnsi" w:hAnsiTheme="majorHAnsi"/>
          <w:spacing w:val="40"/>
        </w:rPr>
        <w:t xml:space="preserve"> </w:t>
      </w:r>
      <w:r w:rsidRPr="000B1E94">
        <w:rPr>
          <w:rFonts w:asciiTheme="majorHAnsi" w:hAnsiTheme="majorHAnsi"/>
        </w:rPr>
        <w:t>regulatory amendments.</w:t>
      </w:r>
    </w:p>
    <w:p w:rsidR="001B0093" w:rsidRPr="000B1E94" w:rsidRDefault="001B0093">
      <w:pPr>
        <w:pStyle w:val="BodyText"/>
        <w:spacing w:before="34"/>
        <w:rPr>
          <w:rFonts w:asciiTheme="majorHAnsi" w:hAnsiTheme="majorHAnsi"/>
        </w:rPr>
      </w:pPr>
    </w:p>
    <w:p w:rsidR="001B0093" w:rsidRPr="000B1E94" w:rsidRDefault="00000000">
      <w:pPr>
        <w:pStyle w:val="Heading1"/>
        <w:numPr>
          <w:ilvl w:val="0"/>
          <w:numId w:val="1"/>
        </w:numPr>
        <w:tabs>
          <w:tab w:val="left" w:pos="379"/>
        </w:tabs>
        <w:ind w:left="379" w:hanging="358"/>
        <w:rPr>
          <w:rFonts w:asciiTheme="majorHAnsi" w:hAnsiTheme="majorHAnsi"/>
        </w:rPr>
      </w:pPr>
      <w:r w:rsidRPr="000B1E94">
        <w:rPr>
          <w:rFonts w:asciiTheme="majorHAnsi" w:hAnsiTheme="majorHAnsi"/>
        </w:rPr>
        <w:t>Compliance</w:t>
      </w:r>
      <w:r w:rsidRPr="000B1E94">
        <w:rPr>
          <w:rFonts w:asciiTheme="majorHAnsi" w:hAnsiTheme="majorHAnsi"/>
          <w:spacing w:val="-7"/>
        </w:rPr>
        <w:t xml:space="preserve"> </w:t>
      </w:r>
      <w:r w:rsidRPr="000B1E94">
        <w:rPr>
          <w:rFonts w:asciiTheme="majorHAnsi" w:hAnsiTheme="majorHAnsi"/>
          <w:spacing w:val="-2"/>
        </w:rPr>
        <w:t>Responsibility</w:t>
      </w:r>
    </w:p>
    <w:p w:rsidR="001B0093" w:rsidRPr="000B1E94" w:rsidRDefault="001B0093">
      <w:pPr>
        <w:pStyle w:val="BodyText"/>
        <w:spacing w:before="77"/>
        <w:rPr>
          <w:rFonts w:asciiTheme="majorHAnsi" w:hAnsiTheme="majorHAnsi"/>
          <w:b/>
        </w:rPr>
      </w:pPr>
    </w:p>
    <w:p w:rsidR="001B0093" w:rsidRPr="000B1E94" w:rsidRDefault="00000000">
      <w:pPr>
        <w:pStyle w:val="BodyText"/>
        <w:spacing w:line="276" w:lineRule="auto"/>
        <w:ind w:left="381" w:right="161"/>
        <w:jc w:val="both"/>
        <w:rPr>
          <w:rFonts w:asciiTheme="majorHAnsi" w:hAnsiTheme="majorHAnsi"/>
        </w:rPr>
      </w:pPr>
      <w:r w:rsidRPr="000B1E94">
        <w:rPr>
          <w:rFonts w:asciiTheme="majorHAnsi" w:hAnsiTheme="majorHAnsi"/>
        </w:rPr>
        <w:t>The</w:t>
      </w:r>
      <w:r w:rsidRPr="000B1E94">
        <w:rPr>
          <w:rFonts w:asciiTheme="majorHAnsi" w:hAnsiTheme="majorHAnsi"/>
          <w:spacing w:val="-2"/>
        </w:rPr>
        <w:t xml:space="preserve"> </w:t>
      </w:r>
      <w:r w:rsidRPr="000B1E94">
        <w:rPr>
          <w:rFonts w:asciiTheme="majorHAnsi" w:hAnsiTheme="majorHAnsi"/>
        </w:rPr>
        <w:t>Chief Financial</w:t>
      </w:r>
      <w:r w:rsidRPr="000B1E94">
        <w:rPr>
          <w:rFonts w:asciiTheme="majorHAnsi" w:hAnsiTheme="majorHAnsi"/>
          <w:spacing w:val="-2"/>
        </w:rPr>
        <w:t xml:space="preserve"> </w:t>
      </w:r>
      <w:r w:rsidRPr="000B1E94">
        <w:rPr>
          <w:rFonts w:asciiTheme="majorHAnsi" w:hAnsiTheme="majorHAnsi"/>
        </w:rPr>
        <w:t>Officer and</w:t>
      </w:r>
      <w:r w:rsidRPr="000B1E94">
        <w:rPr>
          <w:rFonts w:asciiTheme="majorHAnsi" w:hAnsiTheme="majorHAnsi"/>
          <w:spacing w:val="-2"/>
        </w:rPr>
        <w:t xml:space="preserve"> </w:t>
      </w:r>
      <w:r w:rsidRPr="000B1E94">
        <w:rPr>
          <w:rFonts w:asciiTheme="majorHAnsi" w:hAnsiTheme="majorHAnsi"/>
        </w:rPr>
        <w:t>Company</w:t>
      </w:r>
      <w:r w:rsidRPr="000B1E94">
        <w:rPr>
          <w:rFonts w:asciiTheme="majorHAnsi" w:hAnsiTheme="majorHAnsi"/>
          <w:spacing w:val="-4"/>
        </w:rPr>
        <w:t xml:space="preserve"> </w:t>
      </w:r>
      <w:r w:rsidRPr="000B1E94">
        <w:rPr>
          <w:rFonts w:asciiTheme="majorHAnsi" w:hAnsiTheme="majorHAnsi"/>
        </w:rPr>
        <w:t>Secretary</w:t>
      </w:r>
      <w:r w:rsidRPr="000B1E94">
        <w:rPr>
          <w:rFonts w:asciiTheme="majorHAnsi" w:hAnsiTheme="majorHAnsi"/>
          <w:spacing w:val="-1"/>
        </w:rPr>
        <w:t xml:space="preserve"> </w:t>
      </w:r>
      <w:r w:rsidRPr="000B1E94">
        <w:rPr>
          <w:rFonts w:asciiTheme="majorHAnsi" w:hAnsiTheme="majorHAnsi"/>
        </w:rPr>
        <w:t>of</w:t>
      </w:r>
      <w:r w:rsidRPr="000B1E94">
        <w:rPr>
          <w:rFonts w:asciiTheme="majorHAnsi" w:hAnsiTheme="majorHAnsi"/>
          <w:spacing w:val="-3"/>
        </w:rPr>
        <w:t xml:space="preserve"> </w:t>
      </w:r>
      <w:r w:rsidRPr="000B1E94">
        <w:rPr>
          <w:rFonts w:asciiTheme="majorHAnsi" w:hAnsiTheme="majorHAnsi"/>
        </w:rPr>
        <w:t>the</w:t>
      </w:r>
      <w:r w:rsidRPr="000B1E94">
        <w:rPr>
          <w:rFonts w:asciiTheme="majorHAnsi" w:hAnsiTheme="majorHAnsi"/>
          <w:spacing w:val="-2"/>
        </w:rPr>
        <w:t xml:space="preserve"> </w:t>
      </w:r>
      <w:r w:rsidRPr="000B1E94">
        <w:rPr>
          <w:rFonts w:asciiTheme="majorHAnsi" w:hAnsiTheme="majorHAnsi"/>
        </w:rPr>
        <w:t>Company</w:t>
      </w:r>
      <w:r w:rsidRPr="000B1E94">
        <w:rPr>
          <w:rFonts w:asciiTheme="majorHAnsi" w:hAnsiTheme="majorHAnsi"/>
          <w:spacing w:val="-1"/>
        </w:rPr>
        <w:t xml:space="preserve"> </w:t>
      </w:r>
      <w:r w:rsidRPr="000B1E94">
        <w:rPr>
          <w:rFonts w:asciiTheme="majorHAnsi" w:hAnsiTheme="majorHAnsi"/>
        </w:rPr>
        <w:t>shall</w:t>
      </w:r>
      <w:r w:rsidRPr="000B1E94">
        <w:rPr>
          <w:rFonts w:asciiTheme="majorHAnsi" w:hAnsiTheme="majorHAnsi"/>
          <w:spacing w:val="-5"/>
        </w:rPr>
        <w:t xml:space="preserve"> </w:t>
      </w:r>
      <w:r w:rsidRPr="000B1E94">
        <w:rPr>
          <w:rFonts w:asciiTheme="majorHAnsi" w:hAnsiTheme="majorHAnsi"/>
        </w:rPr>
        <w:t>be</w:t>
      </w:r>
      <w:r w:rsidRPr="000B1E94">
        <w:rPr>
          <w:rFonts w:asciiTheme="majorHAnsi" w:hAnsiTheme="majorHAnsi"/>
          <w:spacing w:val="-2"/>
        </w:rPr>
        <w:t xml:space="preserve"> </w:t>
      </w:r>
      <w:r w:rsidRPr="000B1E94">
        <w:rPr>
          <w:rFonts w:asciiTheme="majorHAnsi" w:hAnsiTheme="majorHAnsi"/>
        </w:rPr>
        <w:t>responsible for complying with the provisions of this Policy and other provisions of applicable laws in that regard. Further, he/she shall have the power to ask for any information or clarifications</w:t>
      </w:r>
      <w:r w:rsidRPr="000B1E94">
        <w:rPr>
          <w:rFonts w:asciiTheme="majorHAnsi" w:hAnsiTheme="majorHAnsi"/>
          <w:spacing w:val="-2"/>
        </w:rPr>
        <w:t xml:space="preserve"> </w:t>
      </w:r>
      <w:r w:rsidRPr="000B1E94">
        <w:rPr>
          <w:rFonts w:asciiTheme="majorHAnsi" w:hAnsiTheme="majorHAnsi"/>
        </w:rPr>
        <w:t>from</w:t>
      </w:r>
      <w:r w:rsidRPr="000B1E94">
        <w:rPr>
          <w:rFonts w:asciiTheme="majorHAnsi" w:hAnsiTheme="majorHAnsi"/>
          <w:spacing w:val="-4"/>
        </w:rPr>
        <w:t xml:space="preserve"> </w:t>
      </w:r>
      <w:r w:rsidRPr="000B1E94">
        <w:rPr>
          <w:rFonts w:asciiTheme="majorHAnsi" w:hAnsiTheme="majorHAnsi"/>
        </w:rPr>
        <w:t>the</w:t>
      </w:r>
      <w:r w:rsidRPr="000B1E94">
        <w:rPr>
          <w:rFonts w:asciiTheme="majorHAnsi" w:hAnsiTheme="majorHAnsi"/>
          <w:spacing w:val="-5"/>
        </w:rPr>
        <w:t xml:space="preserve"> </w:t>
      </w:r>
      <w:r w:rsidRPr="000B1E94">
        <w:rPr>
          <w:rFonts w:asciiTheme="majorHAnsi" w:hAnsiTheme="majorHAnsi"/>
        </w:rPr>
        <w:t>Management,</w:t>
      </w:r>
      <w:r w:rsidRPr="000B1E94">
        <w:rPr>
          <w:rFonts w:asciiTheme="majorHAnsi" w:hAnsiTheme="majorHAnsi"/>
          <w:spacing w:val="-1"/>
        </w:rPr>
        <w:t xml:space="preserve"> </w:t>
      </w:r>
      <w:r w:rsidRPr="000B1E94">
        <w:rPr>
          <w:rFonts w:asciiTheme="majorHAnsi" w:hAnsiTheme="majorHAnsi"/>
        </w:rPr>
        <w:t>for</w:t>
      </w:r>
      <w:r w:rsidRPr="000B1E94">
        <w:rPr>
          <w:rFonts w:asciiTheme="majorHAnsi" w:hAnsiTheme="majorHAnsi"/>
          <w:spacing w:val="-1"/>
        </w:rPr>
        <w:t xml:space="preserve"> </w:t>
      </w:r>
      <w:r w:rsidRPr="000B1E94">
        <w:rPr>
          <w:rFonts w:asciiTheme="majorHAnsi" w:hAnsiTheme="majorHAnsi"/>
        </w:rPr>
        <w:t>effective</w:t>
      </w:r>
      <w:r w:rsidRPr="000B1E94">
        <w:rPr>
          <w:rFonts w:asciiTheme="majorHAnsi" w:hAnsiTheme="majorHAnsi"/>
          <w:spacing w:val="-3"/>
        </w:rPr>
        <w:t xml:space="preserve"> </w:t>
      </w:r>
      <w:r w:rsidRPr="000B1E94">
        <w:rPr>
          <w:rFonts w:asciiTheme="majorHAnsi" w:hAnsiTheme="majorHAnsi"/>
        </w:rPr>
        <w:t>discharge</w:t>
      </w:r>
      <w:r w:rsidRPr="000B1E94">
        <w:rPr>
          <w:rFonts w:asciiTheme="majorHAnsi" w:hAnsiTheme="majorHAnsi"/>
          <w:spacing w:val="-3"/>
        </w:rPr>
        <w:t xml:space="preserve"> </w:t>
      </w:r>
      <w:r w:rsidRPr="000B1E94">
        <w:rPr>
          <w:rFonts w:asciiTheme="majorHAnsi" w:hAnsiTheme="majorHAnsi"/>
        </w:rPr>
        <w:t>of</w:t>
      </w:r>
      <w:r w:rsidRPr="000B1E94">
        <w:rPr>
          <w:rFonts w:asciiTheme="majorHAnsi" w:hAnsiTheme="majorHAnsi"/>
          <w:spacing w:val="-1"/>
        </w:rPr>
        <w:t xml:space="preserve"> </w:t>
      </w:r>
      <w:r w:rsidRPr="000B1E94">
        <w:rPr>
          <w:rFonts w:asciiTheme="majorHAnsi" w:hAnsiTheme="majorHAnsi"/>
        </w:rPr>
        <w:t>his/her</w:t>
      </w:r>
      <w:r w:rsidRPr="000B1E94">
        <w:rPr>
          <w:rFonts w:asciiTheme="majorHAnsi" w:hAnsiTheme="majorHAnsi"/>
          <w:spacing w:val="-1"/>
        </w:rPr>
        <w:t xml:space="preserve"> </w:t>
      </w:r>
      <w:r w:rsidRPr="000B1E94">
        <w:rPr>
          <w:rFonts w:asciiTheme="majorHAnsi" w:hAnsiTheme="majorHAnsi"/>
        </w:rPr>
        <w:t>responsibility(</w:t>
      </w:r>
      <w:proofErr w:type="spellStart"/>
      <w:r w:rsidRPr="000B1E94">
        <w:rPr>
          <w:rFonts w:asciiTheme="majorHAnsi" w:hAnsiTheme="majorHAnsi"/>
        </w:rPr>
        <w:t>ies</w:t>
      </w:r>
      <w:proofErr w:type="spellEnd"/>
      <w:r w:rsidRPr="000B1E94">
        <w:rPr>
          <w:rFonts w:asciiTheme="majorHAnsi" w:hAnsiTheme="majorHAnsi"/>
        </w:rPr>
        <w:t>)</w:t>
      </w:r>
      <w:r w:rsidRPr="000B1E94">
        <w:rPr>
          <w:rFonts w:asciiTheme="majorHAnsi" w:hAnsiTheme="majorHAnsi"/>
          <w:spacing w:val="-1"/>
        </w:rPr>
        <w:t xml:space="preserve"> </w:t>
      </w:r>
      <w:r w:rsidRPr="000B1E94">
        <w:rPr>
          <w:rFonts w:asciiTheme="majorHAnsi" w:hAnsiTheme="majorHAnsi"/>
        </w:rPr>
        <w:t>in this regard.</w:t>
      </w:r>
    </w:p>
    <w:sectPr w:rsidR="001B0093" w:rsidRPr="000B1E94">
      <w:pgSz w:w="11910" w:h="16840"/>
      <w:pgMar w:top="2000" w:right="1275" w:bottom="1660" w:left="1417" w:header="504" w:footer="14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F4481" w:rsidRDefault="00FF4481">
      <w:r>
        <w:separator/>
      </w:r>
    </w:p>
  </w:endnote>
  <w:endnote w:type="continuationSeparator" w:id="0">
    <w:p w:rsidR="00FF4481" w:rsidRDefault="00FF4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B0093" w:rsidRDefault="00000000">
    <w:pPr>
      <w:pStyle w:val="BodyText"/>
      <w:spacing w:line="14" w:lineRule="auto"/>
      <w:rPr>
        <w:sz w:val="20"/>
      </w:rPr>
    </w:pPr>
    <w:r>
      <w:rPr>
        <w:noProof/>
        <w:sz w:val="20"/>
      </w:rPr>
      <mc:AlternateContent>
        <mc:Choice Requires="wps">
          <w:drawing>
            <wp:anchor distT="0" distB="0" distL="0" distR="0" simplePos="0" relativeHeight="487510528" behindDoc="1" locked="0" layoutInCell="1" allowOverlap="1">
              <wp:simplePos x="0" y="0"/>
              <wp:positionH relativeFrom="page">
                <wp:posOffset>6115303</wp:posOffset>
              </wp:positionH>
              <wp:positionV relativeFrom="page">
                <wp:posOffset>10352552</wp:posOffset>
              </wp:positionV>
              <wp:extent cx="547370" cy="139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7370" cy="139700"/>
                      </a:xfrm>
                      <a:prstGeom prst="rect">
                        <a:avLst/>
                      </a:prstGeom>
                    </wps:spPr>
                    <wps:txbx>
                      <w:txbxContent>
                        <w:p w:rsidR="001B0093" w:rsidRDefault="00000000">
                          <w:pPr>
                            <w:spacing w:before="15"/>
                            <w:ind w:left="20"/>
                            <w:rPr>
                              <w:rFonts w:ascii="Arial"/>
                              <w:b/>
                              <w:sz w:val="16"/>
                            </w:rPr>
                          </w:pPr>
                          <w:r>
                            <w:rPr>
                              <w:sz w:val="16"/>
                            </w:rPr>
                            <w:t>Page</w:t>
                          </w:r>
                          <w:r>
                            <w:rPr>
                              <w:spacing w:val="-2"/>
                              <w:sz w:val="16"/>
                            </w:rPr>
                            <w:t xml:space="preserve"> </w:t>
                          </w:r>
                          <w:r>
                            <w:rPr>
                              <w:rFonts w:ascii="Arial"/>
                              <w:b/>
                              <w:sz w:val="16"/>
                            </w:rPr>
                            <w:fldChar w:fldCharType="begin"/>
                          </w:r>
                          <w:r>
                            <w:rPr>
                              <w:rFonts w:ascii="Arial"/>
                              <w:b/>
                              <w:sz w:val="16"/>
                            </w:rPr>
                            <w:instrText xml:space="preserve"> PAGE </w:instrText>
                          </w:r>
                          <w:r>
                            <w:rPr>
                              <w:rFonts w:ascii="Arial"/>
                              <w:b/>
                              <w:sz w:val="16"/>
                            </w:rPr>
                            <w:fldChar w:fldCharType="separate"/>
                          </w:r>
                          <w:r>
                            <w:rPr>
                              <w:rFonts w:ascii="Arial"/>
                              <w:b/>
                              <w:sz w:val="16"/>
                            </w:rPr>
                            <w:t>1</w:t>
                          </w:r>
                          <w:r>
                            <w:rPr>
                              <w:rFonts w:ascii="Arial"/>
                              <w:b/>
                              <w:sz w:val="16"/>
                            </w:rPr>
                            <w:fldChar w:fldCharType="end"/>
                          </w:r>
                          <w:r>
                            <w:rPr>
                              <w:rFonts w:ascii="Arial"/>
                              <w:b/>
                              <w:spacing w:val="-2"/>
                              <w:sz w:val="16"/>
                            </w:rPr>
                            <w:t xml:space="preserve"> </w:t>
                          </w:r>
                          <w:r>
                            <w:rPr>
                              <w:sz w:val="16"/>
                            </w:rPr>
                            <w:t xml:space="preserve">of </w:t>
                          </w:r>
                          <w:r>
                            <w:rPr>
                              <w:rFonts w:ascii="Arial"/>
                              <w:b/>
                              <w:spacing w:val="-10"/>
                              <w:sz w:val="16"/>
                            </w:rPr>
                            <w:fldChar w:fldCharType="begin"/>
                          </w:r>
                          <w:r>
                            <w:rPr>
                              <w:rFonts w:ascii="Arial"/>
                              <w:b/>
                              <w:spacing w:val="-10"/>
                              <w:sz w:val="16"/>
                            </w:rPr>
                            <w:instrText xml:space="preserve"> NUMPAGES </w:instrText>
                          </w:r>
                          <w:r>
                            <w:rPr>
                              <w:rFonts w:ascii="Arial"/>
                              <w:b/>
                              <w:spacing w:val="-10"/>
                              <w:sz w:val="16"/>
                            </w:rPr>
                            <w:fldChar w:fldCharType="separate"/>
                          </w:r>
                          <w:r>
                            <w:rPr>
                              <w:rFonts w:ascii="Arial"/>
                              <w:b/>
                              <w:spacing w:val="-10"/>
                              <w:sz w:val="16"/>
                            </w:rPr>
                            <w:t>3</w:t>
                          </w:r>
                          <w:r>
                            <w:rPr>
                              <w:rFonts w:ascii="Arial"/>
                              <w:b/>
                              <w:spacing w:val="-10"/>
                              <w:sz w:val="16"/>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481.5pt;margin-top:815.15pt;width:43.1pt;height:11pt;z-index:-1580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" filled="f" stroked="f">
              <v:textbox inset="0,0,0,0">
                <w:txbxContent>
                  <w:p w:rsidR="001B0093" w:rsidRDefault="00000000">
                    <w:pPr>
                      <w:spacing w:before="15"/>
                      <w:ind w:left="20"/>
                      <w:rPr>
                        <w:rFonts w:ascii="Arial"/>
                        <w:b/>
                        <w:sz w:val="16"/>
                      </w:rPr>
                    </w:pPr>
                    <w:r>
                      <w:rPr>
                        <w:sz w:val="16"/>
                      </w:rPr>
                      <w:t>Page</w:t>
                    </w:r>
                    <w:r>
                      <w:rPr>
                        <w:spacing w:val="-2"/>
                        <w:sz w:val="16"/>
                      </w:rPr>
                      <w:t xml:space="preserve"> </w:t>
                    </w:r>
                    <w:r>
                      <w:rPr>
                        <w:rFonts w:ascii="Arial"/>
                        <w:b/>
                        <w:sz w:val="16"/>
                      </w:rPr>
                      <w:fldChar w:fldCharType="begin"/>
                    </w:r>
                    <w:r>
                      <w:rPr>
                        <w:rFonts w:ascii="Arial"/>
                        <w:b/>
                        <w:sz w:val="16"/>
                      </w:rPr>
                      <w:instrText xml:space="preserve"> PAGE </w:instrText>
                    </w:r>
                    <w:r>
                      <w:rPr>
                        <w:rFonts w:ascii="Arial"/>
                        <w:b/>
                        <w:sz w:val="16"/>
                      </w:rPr>
                      <w:fldChar w:fldCharType="separate"/>
                    </w:r>
                    <w:r>
                      <w:rPr>
                        <w:rFonts w:ascii="Arial"/>
                        <w:b/>
                        <w:sz w:val="16"/>
                      </w:rPr>
                      <w:t>1</w:t>
                    </w:r>
                    <w:r>
                      <w:rPr>
                        <w:rFonts w:ascii="Arial"/>
                        <w:b/>
                        <w:sz w:val="16"/>
                      </w:rPr>
                      <w:fldChar w:fldCharType="end"/>
                    </w:r>
                    <w:r>
                      <w:rPr>
                        <w:rFonts w:ascii="Arial"/>
                        <w:b/>
                        <w:spacing w:val="-2"/>
                        <w:sz w:val="16"/>
                      </w:rPr>
                      <w:t xml:space="preserve"> </w:t>
                    </w:r>
                    <w:r>
                      <w:rPr>
                        <w:sz w:val="16"/>
                      </w:rPr>
                      <w:t xml:space="preserve">of </w:t>
                    </w:r>
                    <w:r>
                      <w:rPr>
                        <w:rFonts w:ascii="Arial"/>
                        <w:b/>
                        <w:spacing w:val="-10"/>
                        <w:sz w:val="16"/>
                      </w:rPr>
                      <w:fldChar w:fldCharType="begin"/>
                    </w:r>
                    <w:r>
                      <w:rPr>
                        <w:rFonts w:ascii="Arial"/>
                        <w:b/>
                        <w:spacing w:val="-10"/>
                        <w:sz w:val="16"/>
                      </w:rPr>
                      <w:instrText xml:space="preserve"> NUMPAGES </w:instrText>
                    </w:r>
                    <w:r>
                      <w:rPr>
                        <w:rFonts w:ascii="Arial"/>
                        <w:b/>
                        <w:spacing w:val="-10"/>
                        <w:sz w:val="16"/>
                      </w:rPr>
                      <w:fldChar w:fldCharType="separate"/>
                    </w:r>
                    <w:r>
                      <w:rPr>
                        <w:rFonts w:ascii="Arial"/>
                        <w:b/>
                        <w:spacing w:val="-10"/>
                        <w:sz w:val="16"/>
                      </w:rPr>
                      <w:t>3</w:t>
                    </w:r>
                    <w:r>
                      <w:rPr>
                        <w:rFonts w:ascii="Arial"/>
                        <w:b/>
                        <w:spacing w:val="-10"/>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F4481" w:rsidRDefault="00FF4481">
      <w:r>
        <w:separator/>
      </w:r>
    </w:p>
  </w:footnote>
  <w:footnote w:type="continuationSeparator" w:id="0">
    <w:p w:rsidR="00FF4481" w:rsidRDefault="00FF44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B0093" w:rsidRDefault="001B0093">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58650F"/>
    <w:multiLevelType w:val="hybridMultilevel"/>
    <w:tmpl w:val="62B2BC60"/>
    <w:lvl w:ilvl="0" w:tplc="3C4CA680">
      <w:start w:val="1"/>
      <w:numFmt w:val="decimal"/>
      <w:lvlText w:val="%1."/>
      <w:lvlJc w:val="left"/>
      <w:pPr>
        <w:ind w:left="382" w:hanging="360"/>
        <w:jc w:val="left"/>
      </w:pPr>
      <w:rPr>
        <w:rFonts w:hint="default"/>
        <w:spacing w:val="-1"/>
        <w:w w:val="100"/>
        <w:lang w:val="en-US" w:eastAsia="en-US" w:bidi="ar-SA"/>
      </w:rPr>
    </w:lvl>
    <w:lvl w:ilvl="1" w:tplc="2BDE2988">
      <w:numFmt w:val="bullet"/>
      <w:lvlText w:val="•"/>
      <w:lvlJc w:val="left"/>
      <w:pPr>
        <w:ind w:left="1263" w:hanging="360"/>
      </w:pPr>
      <w:rPr>
        <w:rFonts w:hint="default"/>
        <w:lang w:val="en-US" w:eastAsia="en-US" w:bidi="ar-SA"/>
      </w:rPr>
    </w:lvl>
    <w:lvl w:ilvl="2" w:tplc="C7F46A5A">
      <w:numFmt w:val="bullet"/>
      <w:lvlText w:val="•"/>
      <w:lvlJc w:val="left"/>
      <w:pPr>
        <w:ind w:left="2147" w:hanging="360"/>
      </w:pPr>
      <w:rPr>
        <w:rFonts w:hint="default"/>
        <w:lang w:val="en-US" w:eastAsia="en-US" w:bidi="ar-SA"/>
      </w:rPr>
    </w:lvl>
    <w:lvl w:ilvl="3" w:tplc="85F0CEBA">
      <w:numFmt w:val="bullet"/>
      <w:lvlText w:val="•"/>
      <w:lvlJc w:val="left"/>
      <w:pPr>
        <w:ind w:left="3031" w:hanging="360"/>
      </w:pPr>
      <w:rPr>
        <w:rFonts w:hint="default"/>
        <w:lang w:val="en-US" w:eastAsia="en-US" w:bidi="ar-SA"/>
      </w:rPr>
    </w:lvl>
    <w:lvl w:ilvl="4" w:tplc="713A41B4">
      <w:numFmt w:val="bullet"/>
      <w:lvlText w:val="•"/>
      <w:lvlJc w:val="left"/>
      <w:pPr>
        <w:ind w:left="3914" w:hanging="360"/>
      </w:pPr>
      <w:rPr>
        <w:rFonts w:hint="default"/>
        <w:lang w:val="en-US" w:eastAsia="en-US" w:bidi="ar-SA"/>
      </w:rPr>
    </w:lvl>
    <w:lvl w:ilvl="5" w:tplc="0DFE1B22">
      <w:numFmt w:val="bullet"/>
      <w:lvlText w:val="•"/>
      <w:lvlJc w:val="left"/>
      <w:pPr>
        <w:ind w:left="4798" w:hanging="360"/>
      </w:pPr>
      <w:rPr>
        <w:rFonts w:hint="default"/>
        <w:lang w:val="en-US" w:eastAsia="en-US" w:bidi="ar-SA"/>
      </w:rPr>
    </w:lvl>
    <w:lvl w:ilvl="6" w:tplc="6018CDAE">
      <w:numFmt w:val="bullet"/>
      <w:lvlText w:val="•"/>
      <w:lvlJc w:val="left"/>
      <w:pPr>
        <w:ind w:left="5682" w:hanging="360"/>
      </w:pPr>
      <w:rPr>
        <w:rFonts w:hint="default"/>
        <w:lang w:val="en-US" w:eastAsia="en-US" w:bidi="ar-SA"/>
      </w:rPr>
    </w:lvl>
    <w:lvl w:ilvl="7" w:tplc="397E0670">
      <w:numFmt w:val="bullet"/>
      <w:lvlText w:val="•"/>
      <w:lvlJc w:val="left"/>
      <w:pPr>
        <w:ind w:left="6565" w:hanging="360"/>
      </w:pPr>
      <w:rPr>
        <w:rFonts w:hint="default"/>
        <w:lang w:val="en-US" w:eastAsia="en-US" w:bidi="ar-SA"/>
      </w:rPr>
    </w:lvl>
    <w:lvl w:ilvl="8" w:tplc="4A46E74E">
      <w:numFmt w:val="bullet"/>
      <w:lvlText w:val="•"/>
      <w:lvlJc w:val="left"/>
      <w:pPr>
        <w:ind w:left="7449" w:hanging="360"/>
      </w:pPr>
      <w:rPr>
        <w:rFonts w:hint="default"/>
        <w:lang w:val="en-US" w:eastAsia="en-US" w:bidi="ar-SA"/>
      </w:rPr>
    </w:lvl>
  </w:abstractNum>
  <w:num w:numId="1" w16cid:durableId="526676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B0093"/>
    <w:rsid w:val="00024E6B"/>
    <w:rsid w:val="000B1E94"/>
    <w:rsid w:val="001B0093"/>
    <w:rsid w:val="00FF448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31C47"/>
  <w15:docId w15:val="{4AFC0A80-2A41-42FC-BDA3-A24E0D2F1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381" w:hanging="358"/>
      <w:outlineLvl w:val="0"/>
    </w:pPr>
    <w:rPr>
      <w:rFonts w:ascii="Arial" w:eastAsia="Arial" w:hAnsi="Arial" w:cs="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381" w:hanging="358"/>
    </w:pPr>
    <w:rPr>
      <w:rFonts w:ascii="Arial" w:eastAsia="Arial" w:hAnsi="Arial" w:cs="Arial"/>
    </w:rPr>
  </w:style>
  <w:style w:type="paragraph" w:customStyle="1" w:styleId="TableParagraph">
    <w:name w:val="Table Paragraph"/>
    <w:basedOn w:val="Normal"/>
    <w:uiPriority w:val="1"/>
    <w:qFormat/>
    <w:pPr>
      <w:spacing w:before="134"/>
      <w:ind w:left="50"/>
    </w:pPr>
  </w:style>
  <w:style w:type="paragraph" w:styleId="Header">
    <w:name w:val="header"/>
    <w:basedOn w:val="Normal"/>
    <w:link w:val="HeaderChar"/>
    <w:uiPriority w:val="99"/>
    <w:unhideWhenUsed/>
    <w:rsid w:val="000B1E94"/>
    <w:pPr>
      <w:tabs>
        <w:tab w:val="center" w:pos="4513"/>
        <w:tab w:val="right" w:pos="9026"/>
      </w:tabs>
    </w:pPr>
  </w:style>
  <w:style w:type="character" w:customStyle="1" w:styleId="HeaderChar">
    <w:name w:val="Header Char"/>
    <w:basedOn w:val="DefaultParagraphFont"/>
    <w:link w:val="Header"/>
    <w:uiPriority w:val="99"/>
    <w:rsid w:val="000B1E94"/>
    <w:rPr>
      <w:rFonts w:ascii="Arial MT" w:eastAsia="Arial MT" w:hAnsi="Arial MT" w:cs="Arial MT"/>
    </w:rPr>
  </w:style>
  <w:style w:type="paragraph" w:styleId="Footer">
    <w:name w:val="footer"/>
    <w:basedOn w:val="Normal"/>
    <w:link w:val="FooterChar"/>
    <w:uiPriority w:val="99"/>
    <w:unhideWhenUsed/>
    <w:rsid w:val="000B1E94"/>
    <w:pPr>
      <w:tabs>
        <w:tab w:val="center" w:pos="4513"/>
        <w:tab w:val="right" w:pos="9026"/>
      </w:tabs>
    </w:pPr>
  </w:style>
  <w:style w:type="character" w:customStyle="1" w:styleId="FooterChar">
    <w:name w:val="Footer Char"/>
    <w:basedOn w:val="DefaultParagraphFont"/>
    <w:link w:val="Footer"/>
    <w:uiPriority w:val="99"/>
    <w:rsid w:val="000B1E94"/>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938</Words>
  <Characters>5347</Characters>
  <Application>Microsoft Office Word</Application>
  <DocSecurity>0</DocSecurity>
  <Lines>44</Lines>
  <Paragraphs>12</Paragraphs>
  <ScaleCrop>false</ScaleCrop>
  <Company/>
  <LinksUpToDate>false</LinksUpToDate>
  <CharactersWithSpaces>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Oindrilla Ghosh</dc:creator>
  <cp:lastModifiedBy>Heena Rangari</cp:lastModifiedBy>
  <cp:revision>2</cp:revision>
  <dcterms:created xsi:type="dcterms:W3CDTF">2025-05-06T13:47:00Z</dcterms:created>
  <dcterms:modified xsi:type="dcterms:W3CDTF">2025-05-06T13:57:00Z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2022-07-26T00:00:00Z</vt:filetime>
  </property>
  <property fmtid="{D5CDD505-2E9C-101B-9397-08002B2CF9AE}" pid="3" name="Creator">
    <vt:lpwstr>Acrobat PDFMaker 22 for Word</vt:lpwstr>
  </property>
  <property fmtid="{D5CDD505-2E9C-101B-9397-08002B2CF9AE}" pid="4" name="LastSaved">
    <vt:filetime>2025-05-06T00:00:00Z</vt:filetime>
  </property>
  <property fmtid="{D5CDD505-2E9C-101B-9397-08002B2CF9AE}" pid="5" name="Producer">
    <vt:lpwstr>Adobe PDF Library 22.1.201</vt:lpwstr>
  </property>
  <property fmtid="{D5CDD505-2E9C-101B-9397-08002B2CF9AE}" pid="6" name="SourceModified">
    <vt:lpwstr>D:20220726101806</vt:lpwstr>
  </property>
</Properties>
</file>